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90" w:type="dxa"/>
        <w:tblInd w:w="115" w:type="dxa"/>
        <w:tblBorders>
          <w:top w:val="none" w:sz="0" w:space="0" w:color="auto"/>
          <w:left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29"/>
        <w:gridCol w:w="2361"/>
        <w:gridCol w:w="2093"/>
        <w:gridCol w:w="2707"/>
      </w:tblGrid>
      <w:tr w:rsidR="003C1667" w:rsidRPr="00B231DC" w14:paraId="3BA3F906" w14:textId="77777777" w:rsidTr="00EF5048">
        <w:tc>
          <w:tcPr>
            <w:tcW w:w="2829" w:type="dxa"/>
            <w:shd w:val="clear" w:color="auto" w:fill="000000" w:themeFill="text1"/>
          </w:tcPr>
          <w:p w14:paraId="2D92F4FE" w14:textId="77777777" w:rsidR="003C1667" w:rsidRPr="002515C0" w:rsidRDefault="003C1667" w:rsidP="00941770">
            <w:pPr>
              <w:ind w:left="0"/>
              <w:jc w:val="center"/>
              <w:rPr>
                <w:b/>
                <w:sz w:val="20"/>
                <w:szCs w:val="18"/>
              </w:rPr>
            </w:pPr>
            <w:r w:rsidRPr="002515C0">
              <w:rPr>
                <w:b/>
                <w:sz w:val="20"/>
                <w:szCs w:val="18"/>
              </w:rPr>
              <w:t>Classification</w:t>
            </w:r>
          </w:p>
        </w:tc>
        <w:tc>
          <w:tcPr>
            <w:tcW w:w="0" w:type="auto"/>
            <w:shd w:val="clear" w:color="auto" w:fill="000000" w:themeFill="text1"/>
          </w:tcPr>
          <w:p w14:paraId="79CD8DBC" w14:textId="77777777" w:rsidR="003C1667" w:rsidRPr="002515C0" w:rsidRDefault="003C1667" w:rsidP="00941770">
            <w:pPr>
              <w:ind w:left="0"/>
              <w:jc w:val="center"/>
              <w:rPr>
                <w:b/>
                <w:sz w:val="20"/>
                <w:szCs w:val="18"/>
              </w:rPr>
            </w:pPr>
            <w:r w:rsidRPr="002515C0">
              <w:rPr>
                <w:b/>
                <w:sz w:val="20"/>
                <w:szCs w:val="18"/>
              </w:rPr>
              <w:t>S/W or F/W</w:t>
            </w:r>
            <w:r w:rsidR="00E06AED" w:rsidRPr="002515C0">
              <w:rPr>
                <w:b/>
                <w:sz w:val="20"/>
                <w:szCs w:val="18"/>
              </w:rPr>
              <w:t xml:space="preserve"> Changes</w:t>
            </w:r>
          </w:p>
        </w:tc>
        <w:tc>
          <w:tcPr>
            <w:tcW w:w="0" w:type="auto"/>
            <w:shd w:val="clear" w:color="auto" w:fill="000000" w:themeFill="text1"/>
          </w:tcPr>
          <w:p w14:paraId="5DC360DA" w14:textId="77777777" w:rsidR="003C1667" w:rsidRPr="002515C0" w:rsidRDefault="003C1667" w:rsidP="00941770">
            <w:pPr>
              <w:ind w:left="0"/>
              <w:jc w:val="center"/>
              <w:rPr>
                <w:b/>
                <w:sz w:val="20"/>
                <w:szCs w:val="18"/>
              </w:rPr>
            </w:pPr>
            <w:r w:rsidRPr="002515C0">
              <w:rPr>
                <w:b/>
                <w:sz w:val="20"/>
                <w:szCs w:val="18"/>
              </w:rPr>
              <w:t>Application</w:t>
            </w:r>
          </w:p>
        </w:tc>
        <w:tc>
          <w:tcPr>
            <w:tcW w:w="2707" w:type="dxa"/>
            <w:shd w:val="clear" w:color="auto" w:fill="000000" w:themeFill="text1"/>
          </w:tcPr>
          <w:p w14:paraId="2B677944" w14:textId="77777777" w:rsidR="003C1667" w:rsidRPr="002515C0" w:rsidRDefault="003C1667" w:rsidP="00941770">
            <w:pPr>
              <w:ind w:left="0"/>
              <w:jc w:val="center"/>
              <w:rPr>
                <w:b/>
                <w:sz w:val="20"/>
                <w:szCs w:val="18"/>
              </w:rPr>
            </w:pPr>
            <w:r w:rsidRPr="002515C0">
              <w:rPr>
                <w:b/>
                <w:sz w:val="20"/>
                <w:szCs w:val="18"/>
              </w:rPr>
              <w:t>S/W or F/W Code Type</w:t>
            </w:r>
          </w:p>
        </w:tc>
      </w:tr>
      <w:tr w:rsidR="003C1667" w:rsidRPr="00B231DC" w14:paraId="580F12C5" w14:textId="77777777" w:rsidTr="00EF5048">
        <w:tc>
          <w:tcPr>
            <w:tcW w:w="2829" w:type="dxa"/>
          </w:tcPr>
          <w:tbl>
            <w:tblPr>
              <w:tblStyle w:val="TableGrid"/>
              <w:tblW w:w="0" w:type="auto"/>
              <w:tblLook w:val="04A0" w:firstRow="1" w:lastRow="0" w:firstColumn="1" w:lastColumn="0" w:noHBand="0" w:noVBand="1"/>
            </w:tblPr>
            <w:tblGrid>
              <w:gridCol w:w="2116"/>
              <w:gridCol w:w="300"/>
            </w:tblGrid>
            <w:tr w:rsidR="003C1667" w:rsidRPr="00B231DC" w14:paraId="24A78FAD" w14:textId="77777777" w:rsidTr="002B0484">
              <w:tc>
                <w:tcPr>
                  <w:tcW w:w="0" w:type="auto"/>
                  <w:tcBorders>
                    <w:top w:val="nil"/>
                    <w:left w:val="nil"/>
                    <w:bottom w:val="nil"/>
                  </w:tcBorders>
                  <w:vAlign w:val="center"/>
                </w:tcPr>
                <w:p w14:paraId="1C95346C" w14:textId="77777777" w:rsidR="003C1667" w:rsidRPr="009E1734" w:rsidRDefault="003C1667" w:rsidP="004F2F9C">
                  <w:pPr>
                    <w:ind w:left="0"/>
                    <w:jc w:val="right"/>
                    <w:rPr>
                      <w:sz w:val="16"/>
                      <w:szCs w:val="16"/>
                    </w:rPr>
                  </w:pPr>
                  <w:r w:rsidRPr="009E1734">
                    <w:rPr>
                      <w:sz w:val="16"/>
                      <w:szCs w:val="16"/>
                    </w:rPr>
                    <w:t>Hardware</w:t>
                  </w:r>
                </w:p>
              </w:tc>
              <w:tc>
                <w:tcPr>
                  <w:tcW w:w="0" w:type="auto"/>
                  <w:vAlign w:val="center"/>
                </w:tcPr>
                <w:p w14:paraId="2308D386" w14:textId="77777777" w:rsidR="003C1667" w:rsidRPr="002B0484" w:rsidRDefault="003C1667" w:rsidP="002B0484">
                  <w:pPr>
                    <w:ind w:left="0"/>
                    <w:jc w:val="center"/>
                    <w:rPr>
                      <w:sz w:val="16"/>
                      <w:szCs w:val="16"/>
                    </w:rPr>
                  </w:pPr>
                </w:p>
              </w:tc>
            </w:tr>
            <w:tr w:rsidR="003C1667" w:rsidRPr="00B231DC" w14:paraId="71A19F61" w14:textId="77777777" w:rsidTr="002B0484">
              <w:tc>
                <w:tcPr>
                  <w:tcW w:w="0" w:type="auto"/>
                  <w:tcBorders>
                    <w:top w:val="nil"/>
                    <w:left w:val="nil"/>
                    <w:bottom w:val="nil"/>
                  </w:tcBorders>
                  <w:vAlign w:val="center"/>
                </w:tcPr>
                <w:p w14:paraId="4B3FAB13" w14:textId="77777777" w:rsidR="003C1667" w:rsidRPr="009E1734" w:rsidRDefault="003C1667" w:rsidP="004F2F9C">
                  <w:pPr>
                    <w:ind w:left="0"/>
                    <w:jc w:val="right"/>
                    <w:rPr>
                      <w:sz w:val="16"/>
                      <w:szCs w:val="16"/>
                    </w:rPr>
                  </w:pPr>
                  <w:r w:rsidRPr="009E1734">
                    <w:rPr>
                      <w:sz w:val="16"/>
                      <w:szCs w:val="16"/>
                    </w:rPr>
                    <w:t>Firmware</w:t>
                  </w:r>
                </w:p>
              </w:tc>
              <w:tc>
                <w:tcPr>
                  <w:tcW w:w="0" w:type="auto"/>
                  <w:vAlign w:val="center"/>
                </w:tcPr>
                <w:p w14:paraId="6492DFD3" w14:textId="77777777" w:rsidR="003C1667" w:rsidRPr="002B0484" w:rsidRDefault="003C1667" w:rsidP="002B0484">
                  <w:pPr>
                    <w:ind w:left="0"/>
                    <w:jc w:val="center"/>
                    <w:rPr>
                      <w:sz w:val="16"/>
                      <w:szCs w:val="16"/>
                    </w:rPr>
                  </w:pPr>
                </w:p>
              </w:tc>
            </w:tr>
            <w:tr w:rsidR="003C1667" w:rsidRPr="00B231DC" w14:paraId="1376060F" w14:textId="77777777" w:rsidTr="002B0484">
              <w:tc>
                <w:tcPr>
                  <w:tcW w:w="0" w:type="auto"/>
                  <w:tcBorders>
                    <w:top w:val="nil"/>
                    <w:left w:val="nil"/>
                    <w:bottom w:val="nil"/>
                  </w:tcBorders>
                  <w:vAlign w:val="center"/>
                </w:tcPr>
                <w:p w14:paraId="606C447F" w14:textId="77777777" w:rsidR="003C1667" w:rsidRPr="009E1734" w:rsidRDefault="003C1667" w:rsidP="004F2F9C">
                  <w:pPr>
                    <w:ind w:left="0"/>
                    <w:jc w:val="right"/>
                    <w:rPr>
                      <w:sz w:val="16"/>
                      <w:szCs w:val="16"/>
                    </w:rPr>
                  </w:pPr>
                  <w:r w:rsidRPr="009E1734">
                    <w:rPr>
                      <w:sz w:val="16"/>
                      <w:szCs w:val="16"/>
                    </w:rPr>
                    <w:t>Software / Maintenance</w:t>
                  </w:r>
                  <w:r w:rsidR="000047CE" w:rsidRPr="009E1734">
                    <w:rPr>
                      <w:sz w:val="16"/>
                      <w:szCs w:val="16"/>
                    </w:rPr>
                    <w:t xml:space="preserve"> Tool</w:t>
                  </w:r>
                </w:p>
              </w:tc>
              <w:tc>
                <w:tcPr>
                  <w:tcW w:w="0" w:type="auto"/>
                  <w:vAlign w:val="center"/>
                </w:tcPr>
                <w:p w14:paraId="348CAA82" w14:textId="77777777" w:rsidR="003C1667" w:rsidRPr="002B0484" w:rsidRDefault="00C277F6" w:rsidP="002B0484">
                  <w:pPr>
                    <w:ind w:left="0"/>
                    <w:jc w:val="center"/>
                    <w:rPr>
                      <w:sz w:val="16"/>
                      <w:szCs w:val="16"/>
                    </w:rPr>
                  </w:pPr>
                  <w:r>
                    <w:rPr>
                      <w:sz w:val="16"/>
                      <w:szCs w:val="16"/>
                    </w:rPr>
                    <w:t>X</w:t>
                  </w:r>
                </w:p>
              </w:tc>
            </w:tr>
            <w:tr w:rsidR="003C1667" w:rsidRPr="00B231DC" w14:paraId="5BD8D8E7" w14:textId="77777777" w:rsidTr="002B0484">
              <w:tc>
                <w:tcPr>
                  <w:tcW w:w="0" w:type="auto"/>
                  <w:tcBorders>
                    <w:top w:val="nil"/>
                    <w:left w:val="nil"/>
                    <w:bottom w:val="nil"/>
                  </w:tcBorders>
                  <w:vAlign w:val="center"/>
                </w:tcPr>
                <w:p w14:paraId="31D33635" w14:textId="77777777" w:rsidR="003C1667" w:rsidRPr="009E1734" w:rsidRDefault="003C1667" w:rsidP="004F2F9C">
                  <w:pPr>
                    <w:ind w:left="0"/>
                    <w:jc w:val="right"/>
                    <w:rPr>
                      <w:sz w:val="16"/>
                      <w:szCs w:val="16"/>
                    </w:rPr>
                  </w:pPr>
                  <w:r w:rsidRPr="009E1734">
                    <w:rPr>
                      <w:sz w:val="16"/>
                      <w:szCs w:val="16"/>
                    </w:rPr>
                    <w:t>Documentation</w:t>
                  </w:r>
                </w:p>
              </w:tc>
              <w:tc>
                <w:tcPr>
                  <w:tcW w:w="0" w:type="auto"/>
                  <w:vAlign w:val="center"/>
                </w:tcPr>
                <w:p w14:paraId="0ED3510B" w14:textId="77777777" w:rsidR="003C1667" w:rsidRPr="002B0484" w:rsidRDefault="00C277F6" w:rsidP="002B0484">
                  <w:pPr>
                    <w:ind w:left="0"/>
                    <w:jc w:val="center"/>
                    <w:rPr>
                      <w:sz w:val="16"/>
                      <w:szCs w:val="16"/>
                    </w:rPr>
                  </w:pPr>
                  <w:r>
                    <w:rPr>
                      <w:sz w:val="16"/>
                      <w:szCs w:val="16"/>
                    </w:rPr>
                    <w:t>X</w:t>
                  </w:r>
                </w:p>
              </w:tc>
            </w:tr>
          </w:tbl>
          <w:p w14:paraId="290601D1" w14:textId="77777777" w:rsidR="003C1667" w:rsidRPr="00B231DC" w:rsidRDefault="003C1667" w:rsidP="00941770">
            <w:pPr>
              <w:ind w:left="0"/>
              <w:rPr>
                <w:sz w:val="20"/>
                <w:szCs w:val="18"/>
              </w:rPr>
            </w:pPr>
          </w:p>
        </w:tc>
        <w:tc>
          <w:tcPr>
            <w:tcW w:w="0" w:type="auto"/>
          </w:tcPr>
          <w:tbl>
            <w:tblPr>
              <w:tblStyle w:val="TableGrid"/>
              <w:tblW w:w="0" w:type="auto"/>
              <w:tblLook w:val="04A0" w:firstRow="1" w:lastRow="0" w:firstColumn="1" w:lastColumn="0" w:noHBand="0" w:noVBand="1"/>
            </w:tblPr>
            <w:tblGrid>
              <w:gridCol w:w="1168"/>
              <w:gridCol w:w="300"/>
            </w:tblGrid>
            <w:tr w:rsidR="003C1667" w:rsidRPr="00B231DC" w14:paraId="1657FB42" w14:textId="77777777" w:rsidTr="002B0484">
              <w:tc>
                <w:tcPr>
                  <w:tcW w:w="0" w:type="auto"/>
                  <w:tcBorders>
                    <w:top w:val="nil"/>
                    <w:left w:val="nil"/>
                    <w:bottom w:val="nil"/>
                  </w:tcBorders>
                  <w:vAlign w:val="center"/>
                </w:tcPr>
                <w:p w14:paraId="668077FB" w14:textId="77777777" w:rsidR="003C1667" w:rsidRPr="009E1734" w:rsidRDefault="003C1667" w:rsidP="004F2F9C">
                  <w:pPr>
                    <w:ind w:left="0"/>
                    <w:jc w:val="right"/>
                    <w:rPr>
                      <w:sz w:val="16"/>
                      <w:szCs w:val="16"/>
                    </w:rPr>
                  </w:pPr>
                  <w:r w:rsidRPr="009E1734">
                    <w:rPr>
                      <w:sz w:val="16"/>
                      <w:szCs w:val="16"/>
                    </w:rPr>
                    <w:t>New Features</w:t>
                  </w:r>
                </w:p>
              </w:tc>
              <w:tc>
                <w:tcPr>
                  <w:tcW w:w="0" w:type="auto"/>
                  <w:vAlign w:val="center"/>
                </w:tcPr>
                <w:p w14:paraId="6987B5D7" w14:textId="77777777" w:rsidR="003C1667" w:rsidRPr="002B0484" w:rsidRDefault="00C277F6" w:rsidP="002B0484">
                  <w:pPr>
                    <w:ind w:left="0"/>
                    <w:jc w:val="center"/>
                    <w:rPr>
                      <w:sz w:val="16"/>
                      <w:szCs w:val="16"/>
                    </w:rPr>
                  </w:pPr>
                  <w:r>
                    <w:rPr>
                      <w:sz w:val="16"/>
                      <w:szCs w:val="16"/>
                    </w:rPr>
                    <w:t>X</w:t>
                  </w:r>
                </w:p>
              </w:tc>
            </w:tr>
            <w:tr w:rsidR="003C1667" w:rsidRPr="00B231DC" w14:paraId="0687F76B" w14:textId="77777777" w:rsidTr="002B0484">
              <w:tc>
                <w:tcPr>
                  <w:tcW w:w="0" w:type="auto"/>
                  <w:tcBorders>
                    <w:top w:val="nil"/>
                    <w:left w:val="nil"/>
                    <w:bottom w:val="nil"/>
                  </w:tcBorders>
                  <w:vAlign w:val="center"/>
                </w:tcPr>
                <w:p w14:paraId="484EDA02" w14:textId="77777777" w:rsidR="003C1667" w:rsidRPr="009E1734" w:rsidRDefault="003C1667" w:rsidP="004F2F9C">
                  <w:pPr>
                    <w:ind w:left="0"/>
                    <w:jc w:val="right"/>
                    <w:rPr>
                      <w:sz w:val="16"/>
                      <w:szCs w:val="16"/>
                    </w:rPr>
                  </w:pPr>
                  <w:r w:rsidRPr="009E1734">
                    <w:rPr>
                      <w:sz w:val="16"/>
                      <w:szCs w:val="16"/>
                    </w:rPr>
                    <w:t>Improvements</w:t>
                  </w:r>
                </w:p>
              </w:tc>
              <w:tc>
                <w:tcPr>
                  <w:tcW w:w="0" w:type="auto"/>
                  <w:vAlign w:val="center"/>
                </w:tcPr>
                <w:p w14:paraId="140E6010" w14:textId="77777777" w:rsidR="003C1667" w:rsidRPr="002B0484" w:rsidRDefault="00C277F6" w:rsidP="002B0484">
                  <w:pPr>
                    <w:ind w:left="0"/>
                    <w:jc w:val="center"/>
                    <w:rPr>
                      <w:sz w:val="16"/>
                      <w:szCs w:val="16"/>
                    </w:rPr>
                  </w:pPr>
                  <w:r>
                    <w:rPr>
                      <w:sz w:val="16"/>
                      <w:szCs w:val="16"/>
                    </w:rPr>
                    <w:t>X</w:t>
                  </w:r>
                </w:p>
              </w:tc>
            </w:tr>
            <w:tr w:rsidR="003C1667" w:rsidRPr="00B231DC" w14:paraId="4F2114FA" w14:textId="77777777" w:rsidTr="002B0484">
              <w:tc>
                <w:tcPr>
                  <w:tcW w:w="0" w:type="auto"/>
                  <w:tcBorders>
                    <w:top w:val="nil"/>
                    <w:left w:val="nil"/>
                    <w:bottom w:val="nil"/>
                  </w:tcBorders>
                  <w:vAlign w:val="center"/>
                </w:tcPr>
                <w:p w14:paraId="292B80CA" w14:textId="77777777" w:rsidR="003C1667" w:rsidRPr="009E1734" w:rsidRDefault="00E67DEC" w:rsidP="004F2F9C">
                  <w:pPr>
                    <w:ind w:left="0"/>
                    <w:jc w:val="right"/>
                    <w:rPr>
                      <w:sz w:val="16"/>
                      <w:szCs w:val="16"/>
                    </w:rPr>
                  </w:pPr>
                  <w:r w:rsidRPr="009E1734">
                    <w:rPr>
                      <w:sz w:val="16"/>
                      <w:szCs w:val="16"/>
                    </w:rPr>
                    <w:t>Bug-Fixes</w:t>
                  </w:r>
                </w:p>
              </w:tc>
              <w:tc>
                <w:tcPr>
                  <w:tcW w:w="0" w:type="auto"/>
                  <w:vAlign w:val="center"/>
                </w:tcPr>
                <w:p w14:paraId="04F892B6" w14:textId="77777777" w:rsidR="003C1667" w:rsidRPr="002B0484" w:rsidRDefault="00C277F6" w:rsidP="002B0484">
                  <w:pPr>
                    <w:ind w:left="0"/>
                    <w:jc w:val="center"/>
                    <w:rPr>
                      <w:sz w:val="16"/>
                      <w:szCs w:val="16"/>
                    </w:rPr>
                  </w:pPr>
                  <w:r>
                    <w:rPr>
                      <w:sz w:val="16"/>
                      <w:szCs w:val="16"/>
                    </w:rPr>
                    <w:t>X</w:t>
                  </w:r>
                </w:p>
              </w:tc>
            </w:tr>
            <w:tr w:rsidR="004078BF" w:rsidRPr="00B231DC" w14:paraId="4011BC9C" w14:textId="77777777" w:rsidTr="002B0484">
              <w:tc>
                <w:tcPr>
                  <w:tcW w:w="0" w:type="auto"/>
                  <w:tcBorders>
                    <w:top w:val="nil"/>
                    <w:left w:val="nil"/>
                    <w:bottom w:val="nil"/>
                  </w:tcBorders>
                  <w:vAlign w:val="center"/>
                </w:tcPr>
                <w:p w14:paraId="432E91E3" w14:textId="77777777" w:rsidR="004078BF" w:rsidRPr="009E1734" w:rsidRDefault="004078BF" w:rsidP="004F2F9C">
                  <w:pPr>
                    <w:ind w:left="0"/>
                    <w:jc w:val="right"/>
                    <w:rPr>
                      <w:sz w:val="16"/>
                      <w:szCs w:val="16"/>
                    </w:rPr>
                  </w:pPr>
                  <w:r>
                    <w:rPr>
                      <w:sz w:val="16"/>
                      <w:szCs w:val="16"/>
                    </w:rPr>
                    <w:t>n/a</w:t>
                  </w:r>
                </w:p>
              </w:tc>
              <w:tc>
                <w:tcPr>
                  <w:tcW w:w="0" w:type="auto"/>
                  <w:vAlign w:val="center"/>
                </w:tcPr>
                <w:p w14:paraId="6C9F8DD9" w14:textId="77777777" w:rsidR="004078BF" w:rsidRPr="002B0484" w:rsidRDefault="004078BF" w:rsidP="002B0484">
                  <w:pPr>
                    <w:ind w:left="0"/>
                    <w:jc w:val="center"/>
                    <w:rPr>
                      <w:sz w:val="16"/>
                      <w:szCs w:val="16"/>
                    </w:rPr>
                  </w:pPr>
                </w:p>
              </w:tc>
            </w:tr>
          </w:tbl>
          <w:p w14:paraId="037D9367" w14:textId="77777777" w:rsidR="003C1667" w:rsidRPr="00B231DC" w:rsidRDefault="003C1667" w:rsidP="00941770">
            <w:pPr>
              <w:ind w:left="0"/>
              <w:rPr>
                <w:sz w:val="20"/>
                <w:szCs w:val="18"/>
              </w:rPr>
            </w:pPr>
          </w:p>
        </w:tc>
        <w:tc>
          <w:tcPr>
            <w:tcW w:w="0" w:type="auto"/>
          </w:tcPr>
          <w:tbl>
            <w:tblPr>
              <w:tblStyle w:val="TableGrid"/>
              <w:tblW w:w="0" w:type="auto"/>
              <w:tblLook w:val="04A0" w:firstRow="1" w:lastRow="0" w:firstColumn="1" w:lastColumn="0" w:noHBand="0" w:noVBand="1"/>
            </w:tblPr>
            <w:tblGrid>
              <w:gridCol w:w="1202"/>
              <w:gridCol w:w="300"/>
            </w:tblGrid>
            <w:tr w:rsidR="003C1667" w:rsidRPr="00B231DC" w14:paraId="31F61709" w14:textId="77777777" w:rsidTr="002B0484">
              <w:tc>
                <w:tcPr>
                  <w:tcW w:w="0" w:type="auto"/>
                  <w:tcBorders>
                    <w:top w:val="nil"/>
                    <w:left w:val="nil"/>
                    <w:bottom w:val="nil"/>
                  </w:tcBorders>
                  <w:vAlign w:val="center"/>
                </w:tcPr>
                <w:p w14:paraId="038C8B06" w14:textId="77777777" w:rsidR="003C1667" w:rsidRPr="009E1734" w:rsidRDefault="003C1667" w:rsidP="004F2F9C">
                  <w:pPr>
                    <w:ind w:left="0"/>
                    <w:jc w:val="right"/>
                    <w:rPr>
                      <w:sz w:val="16"/>
                      <w:szCs w:val="16"/>
                    </w:rPr>
                  </w:pPr>
                  <w:r w:rsidRPr="009E1734">
                    <w:rPr>
                      <w:sz w:val="16"/>
                      <w:szCs w:val="16"/>
                    </w:rPr>
                    <w:t>Mandatory</w:t>
                  </w:r>
                </w:p>
              </w:tc>
              <w:tc>
                <w:tcPr>
                  <w:tcW w:w="0" w:type="auto"/>
                  <w:vAlign w:val="center"/>
                </w:tcPr>
                <w:p w14:paraId="41BE05EC" w14:textId="77777777" w:rsidR="003C1667" w:rsidRPr="002B0484" w:rsidRDefault="00C277F6" w:rsidP="002B0484">
                  <w:pPr>
                    <w:ind w:left="0"/>
                    <w:jc w:val="center"/>
                    <w:rPr>
                      <w:sz w:val="16"/>
                      <w:szCs w:val="16"/>
                    </w:rPr>
                  </w:pPr>
                  <w:r>
                    <w:rPr>
                      <w:sz w:val="16"/>
                      <w:szCs w:val="16"/>
                    </w:rPr>
                    <w:t>X</w:t>
                  </w:r>
                </w:p>
              </w:tc>
            </w:tr>
            <w:tr w:rsidR="003C1667" w:rsidRPr="00B231DC" w14:paraId="785FB59A" w14:textId="77777777" w:rsidTr="002B0484">
              <w:tc>
                <w:tcPr>
                  <w:tcW w:w="0" w:type="auto"/>
                  <w:tcBorders>
                    <w:top w:val="nil"/>
                    <w:left w:val="nil"/>
                    <w:bottom w:val="nil"/>
                  </w:tcBorders>
                  <w:vAlign w:val="center"/>
                </w:tcPr>
                <w:p w14:paraId="48DE881D" w14:textId="77777777" w:rsidR="003C1667" w:rsidRPr="009E1734" w:rsidRDefault="003C1667" w:rsidP="004F2F9C">
                  <w:pPr>
                    <w:ind w:left="0"/>
                    <w:jc w:val="right"/>
                    <w:rPr>
                      <w:sz w:val="16"/>
                      <w:szCs w:val="16"/>
                    </w:rPr>
                  </w:pPr>
                  <w:r w:rsidRPr="009E1734">
                    <w:rPr>
                      <w:sz w:val="16"/>
                      <w:szCs w:val="16"/>
                    </w:rPr>
                    <w:t>Recommended</w:t>
                  </w:r>
                </w:p>
              </w:tc>
              <w:tc>
                <w:tcPr>
                  <w:tcW w:w="0" w:type="auto"/>
                  <w:vAlign w:val="center"/>
                </w:tcPr>
                <w:p w14:paraId="1C18A431" w14:textId="77777777" w:rsidR="003C1667" w:rsidRPr="002B0484" w:rsidRDefault="003C1667" w:rsidP="002B0484">
                  <w:pPr>
                    <w:ind w:left="0"/>
                    <w:jc w:val="center"/>
                    <w:rPr>
                      <w:sz w:val="16"/>
                      <w:szCs w:val="16"/>
                    </w:rPr>
                  </w:pPr>
                </w:p>
              </w:tc>
            </w:tr>
            <w:tr w:rsidR="003C1667" w:rsidRPr="00B231DC" w14:paraId="56D52C69" w14:textId="77777777" w:rsidTr="002B0484">
              <w:tc>
                <w:tcPr>
                  <w:tcW w:w="0" w:type="auto"/>
                  <w:tcBorders>
                    <w:top w:val="nil"/>
                    <w:left w:val="nil"/>
                    <w:bottom w:val="nil"/>
                  </w:tcBorders>
                  <w:vAlign w:val="center"/>
                </w:tcPr>
                <w:p w14:paraId="0AC6D1EE" w14:textId="77777777" w:rsidR="003C1667" w:rsidRPr="009E1734" w:rsidRDefault="003C1667" w:rsidP="004F2F9C">
                  <w:pPr>
                    <w:ind w:left="0"/>
                    <w:jc w:val="right"/>
                    <w:rPr>
                      <w:sz w:val="16"/>
                      <w:szCs w:val="16"/>
                    </w:rPr>
                  </w:pPr>
                  <w:r w:rsidRPr="009E1734">
                    <w:rPr>
                      <w:sz w:val="16"/>
                      <w:szCs w:val="16"/>
                    </w:rPr>
                    <w:t>Optional</w:t>
                  </w:r>
                </w:p>
              </w:tc>
              <w:tc>
                <w:tcPr>
                  <w:tcW w:w="0" w:type="auto"/>
                  <w:vAlign w:val="center"/>
                </w:tcPr>
                <w:p w14:paraId="08704A0B" w14:textId="77777777" w:rsidR="003C1667" w:rsidRPr="002B0484" w:rsidRDefault="003C1667" w:rsidP="002B0484">
                  <w:pPr>
                    <w:ind w:left="0"/>
                    <w:jc w:val="center"/>
                    <w:rPr>
                      <w:sz w:val="16"/>
                      <w:szCs w:val="16"/>
                    </w:rPr>
                  </w:pPr>
                </w:p>
              </w:tc>
            </w:tr>
          </w:tbl>
          <w:p w14:paraId="4B159C9F" w14:textId="77777777" w:rsidR="003C1667" w:rsidRPr="00B231DC" w:rsidRDefault="003C1667" w:rsidP="00941770">
            <w:pPr>
              <w:ind w:left="0"/>
              <w:rPr>
                <w:sz w:val="20"/>
                <w:szCs w:val="18"/>
              </w:rPr>
            </w:pPr>
          </w:p>
        </w:tc>
        <w:tc>
          <w:tcPr>
            <w:tcW w:w="2707" w:type="dxa"/>
          </w:tcPr>
          <w:tbl>
            <w:tblPr>
              <w:tblStyle w:val="TableGrid"/>
              <w:tblW w:w="0" w:type="auto"/>
              <w:tblLook w:val="04A0" w:firstRow="1" w:lastRow="0" w:firstColumn="1" w:lastColumn="0" w:noHBand="0" w:noVBand="1"/>
            </w:tblPr>
            <w:tblGrid>
              <w:gridCol w:w="1084"/>
              <w:gridCol w:w="288"/>
              <w:gridCol w:w="14"/>
            </w:tblGrid>
            <w:tr w:rsidR="003C1667" w:rsidRPr="00B231DC" w14:paraId="1EAE7251" w14:textId="77777777" w:rsidTr="00C277F6">
              <w:tc>
                <w:tcPr>
                  <w:tcW w:w="0" w:type="auto"/>
                  <w:tcBorders>
                    <w:top w:val="nil"/>
                    <w:left w:val="nil"/>
                    <w:bottom w:val="nil"/>
                  </w:tcBorders>
                  <w:vAlign w:val="center"/>
                </w:tcPr>
                <w:p w14:paraId="17266FDB" w14:textId="77777777" w:rsidR="003C1667" w:rsidRPr="009E1734" w:rsidRDefault="003C1667" w:rsidP="004F2F9C">
                  <w:pPr>
                    <w:ind w:left="0"/>
                    <w:jc w:val="right"/>
                    <w:rPr>
                      <w:sz w:val="16"/>
                      <w:szCs w:val="16"/>
                    </w:rPr>
                  </w:pPr>
                  <w:r w:rsidRPr="009E1734">
                    <w:rPr>
                      <w:sz w:val="16"/>
                      <w:szCs w:val="16"/>
                    </w:rPr>
                    <w:t>Q-</w:t>
                  </w:r>
                  <w:r w:rsidR="00775AEA" w:rsidRPr="009E1734">
                    <w:rPr>
                      <w:sz w:val="16"/>
                      <w:szCs w:val="16"/>
                    </w:rPr>
                    <w:t>C</w:t>
                  </w:r>
                  <w:r w:rsidRPr="009E1734">
                    <w:rPr>
                      <w:sz w:val="16"/>
                      <w:szCs w:val="16"/>
                    </w:rPr>
                    <w:t>ode (GA)</w:t>
                  </w:r>
                </w:p>
              </w:tc>
              <w:tc>
                <w:tcPr>
                  <w:tcW w:w="236" w:type="dxa"/>
                  <w:gridSpan w:val="2"/>
                  <w:vAlign w:val="center"/>
                </w:tcPr>
                <w:p w14:paraId="389DF435" w14:textId="77777777" w:rsidR="003C1667" w:rsidRPr="002B0484" w:rsidRDefault="00C277F6" w:rsidP="002B0484">
                  <w:pPr>
                    <w:ind w:left="0"/>
                    <w:jc w:val="center"/>
                    <w:rPr>
                      <w:sz w:val="16"/>
                      <w:szCs w:val="16"/>
                    </w:rPr>
                  </w:pPr>
                  <w:r>
                    <w:rPr>
                      <w:sz w:val="16"/>
                      <w:szCs w:val="16"/>
                    </w:rPr>
                    <w:t>X</w:t>
                  </w:r>
                </w:p>
              </w:tc>
            </w:tr>
            <w:tr w:rsidR="003C1667" w:rsidRPr="00B231DC" w14:paraId="74F99FC9" w14:textId="77777777" w:rsidTr="002B0484">
              <w:trPr>
                <w:gridAfter w:val="1"/>
                <w:wAfter w:w="14" w:type="dxa"/>
              </w:trPr>
              <w:tc>
                <w:tcPr>
                  <w:tcW w:w="0" w:type="auto"/>
                  <w:tcBorders>
                    <w:top w:val="nil"/>
                    <w:left w:val="nil"/>
                    <w:bottom w:val="nil"/>
                  </w:tcBorders>
                  <w:vAlign w:val="center"/>
                </w:tcPr>
                <w:p w14:paraId="256457D5" w14:textId="77777777" w:rsidR="003C1667" w:rsidRPr="009E1734" w:rsidRDefault="003C1667" w:rsidP="004F2F9C">
                  <w:pPr>
                    <w:ind w:left="0"/>
                    <w:jc w:val="right"/>
                    <w:rPr>
                      <w:sz w:val="16"/>
                      <w:szCs w:val="16"/>
                    </w:rPr>
                  </w:pPr>
                  <w:r w:rsidRPr="009E1734">
                    <w:rPr>
                      <w:sz w:val="16"/>
                      <w:szCs w:val="16"/>
                    </w:rPr>
                    <w:t>T-Code (Test)</w:t>
                  </w:r>
                </w:p>
              </w:tc>
              <w:tc>
                <w:tcPr>
                  <w:tcW w:w="0" w:type="auto"/>
                  <w:vAlign w:val="center"/>
                </w:tcPr>
                <w:p w14:paraId="158A4805" w14:textId="77777777" w:rsidR="003C1667" w:rsidRPr="002B0484" w:rsidRDefault="003C1667" w:rsidP="002B0484">
                  <w:pPr>
                    <w:ind w:left="0"/>
                    <w:jc w:val="center"/>
                    <w:rPr>
                      <w:sz w:val="16"/>
                      <w:szCs w:val="16"/>
                    </w:rPr>
                  </w:pPr>
                </w:p>
              </w:tc>
            </w:tr>
            <w:tr w:rsidR="003C1667" w:rsidRPr="00B231DC" w14:paraId="691967F8" w14:textId="77777777" w:rsidTr="002B0484">
              <w:trPr>
                <w:gridAfter w:val="1"/>
                <w:wAfter w:w="14" w:type="dxa"/>
              </w:trPr>
              <w:tc>
                <w:tcPr>
                  <w:tcW w:w="0" w:type="auto"/>
                  <w:tcBorders>
                    <w:top w:val="nil"/>
                    <w:left w:val="nil"/>
                    <w:bottom w:val="nil"/>
                  </w:tcBorders>
                  <w:vAlign w:val="center"/>
                </w:tcPr>
                <w:p w14:paraId="2773D629" w14:textId="77777777" w:rsidR="003C1667" w:rsidRPr="009E1734" w:rsidRDefault="003C1667" w:rsidP="004F2F9C">
                  <w:pPr>
                    <w:ind w:left="0"/>
                    <w:jc w:val="right"/>
                    <w:rPr>
                      <w:sz w:val="16"/>
                      <w:szCs w:val="16"/>
                    </w:rPr>
                  </w:pPr>
                  <w:r w:rsidRPr="009E1734">
                    <w:rPr>
                      <w:sz w:val="16"/>
                      <w:szCs w:val="16"/>
                    </w:rPr>
                    <w:t>I-Code (ICS)</w:t>
                  </w:r>
                </w:p>
              </w:tc>
              <w:tc>
                <w:tcPr>
                  <w:tcW w:w="0" w:type="auto"/>
                  <w:vAlign w:val="center"/>
                </w:tcPr>
                <w:p w14:paraId="21EBAB5A" w14:textId="77777777" w:rsidR="003C1667" w:rsidRPr="002B0484" w:rsidRDefault="003C1667" w:rsidP="002B0484">
                  <w:pPr>
                    <w:ind w:left="0"/>
                    <w:jc w:val="center"/>
                    <w:rPr>
                      <w:sz w:val="16"/>
                      <w:szCs w:val="16"/>
                    </w:rPr>
                  </w:pPr>
                </w:p>
              </w:tc>
            </w:tr>
            <w:tr w:rsidR="00775AEA" w:rsidRPr="00B231DC" w14:paraId="3E75DA93" w14:textId="77777777" w:rsidTr="002B0484">
              <w:trPr>
                <w:gridAfter w:val="1"/>
                <w:wAfter w:w="14" w:type="dxa"/>
              </w:trPr>
              <w:tc>
                <w:tcPr>
                  <w:tcW w:w="0" w:type="auto"/>
                  <w:tcBorders>
                    <w:top w:val="nil"/>
                    <w:left w:val="nil"/>
                    <w:bottom w:val="nil"/>
                  </w:tcBorders>
                  <w:vAlign w:val="center"/>
                </w:tcPr>
                <w:p w14:paraId="0EB691DA" w14:textId="77777777" w:rsidR="00775AEA" w:rsidRPr="009E1734" w:rsidRDefault="00841501" w:rsidP="004F2F9C">
                  <w:pPr>
                    <w:ind w:left="0"/>
                    <w:jc w:val="right"/>
                    <w:rPr>
                      <w:sz w:val="16"/>
                      <w:szCs w:val="16"/>
                    </w:rPr>
                  </w:pPr>
                  <w:r w:rsidRPr="009E1734">
                    <w:rPr>
                      <w:sz w:val="16"/>
                      <w:szCs w:val="16"/>
                    </w:rPr>
                    <w:t>n/a</w:t>
                  </w:r>
                  <w:r w:rsidR="00775AEA" w:rsidRPr="009E1734">
                    <w:rPr>
                      <w:sz w:val="16"/>
                      <w:szCs w:val="16"/>
                    </w:rPr>
                    <w:t xml:space="preserve"> (</w:t>
                  </w:r>
                  <w:r w:rsidRPr="009E1734">
                    <w:rPr>
                      <w:sz w:val="16"/>
                      <w:szCs w:val="16"/>
                    </w:rPr>
                    <w:t>H/W</w:t>
                  </w:r>
                  <w:r w:rsidR="00775AEA" w:rsidRPr="009E1734">
                    <w:rPr>
                      <w:sz w:val="16"/>
                      <w:szCs w:val="16"/>
                    </w:rPr>
                    <w:t>)</w:t>
                  </w:r>
                </w:p>
              </w:tc>
              <w:tc>
                <w:tcPr>
                  <w:tcW w:w="0" w:type="auto"/>
                  <w:vAlign w:val="center"/>
                </w:tcPr>
                <w:p w14:paraId="0D061C3C" w14:textId="77777777" w:rsidR="00775AEA" w:rsidRPr="002B0484" w:rsidRDefault="00775AEA" w:rsidP="002B0484">
                  <w:pPr>
                    <w:ind w:left="0"/>
                    <w:jc w:val="center"/>
                    <w:rPr>
                      <w:sz w:val="16"/>
                      <w:szCs w:val="16"/>
                    </w:rPr>
                  </w:pPr>
                </w:p>
              </w:tc>
            </w:tr>
          </w:tbl>
          <w:p w14:paraId="4A4F1CC2" w14:textId="77777777" w:rsidR="003C1667" w:rsidRPr="00B231DC" w:rsidRDefault="003C1667" w:rsidP="00941770">
            <w:pPr>
              <w:ind w:left="0"/>
              <w:rPr>
                <w:sz w:val="20"/>
                <w:szCs w:val="18"/>
              </w:rPr>
            </w:pPr>
          </w:p>
        </w:tc>
      </w:tr>
      <w:tr w:rsidR="00A52AFC" w:rsidRPr="00B231DC" w14:paraId="23B55CA9" w14:textId="77777777" w:rsidTr="00EF5048">
        <w:tc>
          <w:tcPr>
            <w:tcW w:w="2829" w:type="dxa"/>
          </w:tcPr>
          <w:p w14:paraId="554FF6AB" w14:textId="77777777" w:rsidR="00A52AFC" w:rsidRPr="0016363C" w:rsidRDefault="00A52AFC" w:rsidP="00A52AFC">
            <w:pPr>
              <w:ind w:left="0"/>
              <w:jc w:val="center"/>
              <w:rPr>
                <w:i/>
                <w:iCs/>
                <w:sz w:val="14"/>
                <w:szCs w:val="12"/>
              </w:rPr>
            </w:pPr>
            <w:r w:rsidRPr="0016363C">
              <w:rPr>
                <w:i/>
                <w:iCs/>
                <w:sz w:val="14"/>
                <w:szCs w:val="12"/>
              </w:rPr>
              <w:t>(check all that apply)</w:t>
            </w:r>
          </w:p>
        </w:tc>
        <w:tc>
          <w:tcPr>
            <w:tcW w:w="0" w:type="auto"/>
          </w:tcPr>
          <w:p w14:paraId="77B6D58F" w14:textId="77777777" w:rsidR="00A52AFC" w:rsidRPr="0016363C" w:rsidRDefault="00A52AFC" w:rsidP="00A52AFC">
            <w:pPr>
              <w:ind w:left="0"/>
              <w:jc w:val="center"/>
              <w:rPr>
                <w:sz w:val="14"/>
                <w:szCs w:val="12"/>
              </w:rPr>
            </w:pPr>
            <w:r w:rsidRPr="0016363C">
              <w:rPr>
                <w:i/>
                <w:iCs/>
                <w:sz w:val="14"/>
                <w:szCs w:val="12"/>
              </w:rPr>
              <w:t>(check all that apply)</w:t>
            </w:r>
          </w:p>
        </w:tc>
        <w:tc>
          <w:tcPr>
            <w:tcW w:w="0" w:type="auto"/>
          </w:tcPr>
          <w:p w14:paraId="3C2BCE2E" w14:textId="77777777" w:rsidR="00A52AFC" w:rsidRPr="0016363C" w:rsidRDefault="00A52AFC" w:rsidP="00A52AFC">
            <w:pPr>
              <w:ind w:left="0"/>
              <w:jc w:val="center"/>
              <w:rPr>
                <w:sz w:val="14"/>
                <w:szCs w:val="12"/>
              </w:rPr>
            </w:pPr>
            <w:r w:rsidRPr="0016363C">
              <w:rPr>
                <w:i/>
                <w:iCs/>
                <w:sz w:val="14"/>
                <w:szCs w:val="12"/>
              </w:rPr>
              <w:t>(check only one)</w:t>
            </w:r>
          </w:p>
        </w:tc>
        <w:tc>
          <w:tcPr>
            <w:tcW w:w="2707" w:type="dxa"/>
          </w:tcPr>
          <w:p w14:paraId="77917EAB" w14:textId="77777777" w:rsidR="00A52AFC" w:rsidRPr="0016363C" w:rsidRDefault="00A52AFC" w:rsidP="00A52AFC">
            <w:pPr>
              <w:ind w:left="0"/>
              <w:jc w:val="center"/>
              <w:rPr>
                <w:sz w:val="14"/>
                <w:szCs w:val="12"/>
              </w:rPr>
            </w:pPr>
            <w:r w:rsidRPr="0016363C">
              <w:rPr>
                <w:i/>
                <w:iCs/>
                <w:sz w:val="14"/>
                <w:szCs w:val="12"/>
              </w:rPr>
              <w:t>(check only one)</w:t>
            </w:r>
          </w:p>
        </w:tc>
      </w:tr>
    </w:tbl>
    <w:p w14:paraId="7FB080A7" w14:textId="77777777" w:rsidR="00481149" w:rsidRPr="00C54550" w:rsidRDefault="00481149" w:rsidP="00C54550">
      <w:pPr>
        <w:pStyle w:val="Heading2"/>
      </w:pPr>
      <w:r w:rsidRPr="00C54550">
        <w:t>Title</w:t>
      </w:r>
    </w:p>
    <w:p w14:paraId="31448EE4" w14:textId="77777777" w:rsidR="00371B20" w:rsidRDefault="00045C13" w:rsidP="002B0484">
      <w:r>
        <w:t>Hi-Track SVP Agent</w:t>
      </w:r>
    </w:p>
    <w:p w14:paraId="2E2A7CFF" w14:textId="77777777" w:rsidR="00481149" w:rsidRPr="00C54550" w:rsidRDefault="00481149" w:rsidP="00C54550">
      <w:pPr>
        <w:pStyle w:val="Heading2"/>
      </w:pPr>
      <w:r w:rsidRPr="00C54550">
        <w:t>Purpose</w:t>
      </w:r>
    </w:p>
    <w:p w14:paraId="11E6A4AA" w14:textId="0F410F7C" w:rsidR="00C14E43" w:rsidRDefault="00045C13" w:rsidP="00C14E43">
      <w:pPr>
        <w:tabs>
          <w:tab w:val="left" w:pos="4052"/>
        </w:tabs>
      </w:pPr>
      <w:r>
        <w:t xml:space="preserve">This ECN announces version </w:t>
      </w:r>
      <w:r w:rsidR="00D66602">
        <w:t>D.0</w:t>
      </w:r>
      <w:r>
        <w:t xml:space="preserve"> of the Hi-Track SVP Agent. Version </w:t>
      </w:r>
      <w:r w:rsidR="00F2194B">
        <w:t xml:space="preserve">D.0 </w:t>
      </w:r>
      <w:r>
        <w:t xml:space="preserve">supports </w:t>
      </w:r>
      <w:r w:rsidR="00852682">
        <w:t>VSP</w:t>
      </w:r>
      <w:r w:rsidR="009E3C20">
        <w:t xml:space="preserve"> F/G</w:t>
      </w:r>
      <w:r w:rsidR="00E51CC9">
        <w:t xml:space="preserve"> 800/600/400/200/100</w:t>
      </w:r>
      <w:r w:rsidR="00852682">
        <w:t xml:space="preserve">, </w:t>
      </w:r>
      <w:r w:rsidR="00E8281E">
        <w:t xml:space="preserve">VSP </w:t>
      </w:r>
      <w:r w:rsidR="0041727D">
        <w:t>F/G</w:t>
      </w:r>
      <w:r w:rsidR="00E51CC9">
        <w:t xml:space="preserve"> 1500/1000</w:t>
      </w:r>
      <w:r w:rsidR="00E8281E">
        <w:t xml:space="preserve">, </w:t>
      </w:r>
      <w:r w:rsidR="006F6DE3">
        <w:t>HUS VM, VSP, USP V, and USP VM</w:t>
      </w:r>
      <w:r>
        <w:t xml:space="preserve"> subsystems.</w:t>
      </w:r>
      <w:r w:rsidR="006F6DE3">
        <w:br/>
      </w:r>
      <w:r w:rsidR="006F6DE3">
        <w:br/>
      </w:r>
      <w:r w:rsidR="00C14E43" w:rsidRPr="00791422">
        <w:rPr>
          <w:b/>
        </w:rPr>
        <w:t>Note</w:t>
      </w:r>
      <w:r w:rsidR="00C14E43">
        <w:rPr>
          <w:b/>
        </w:rPr>
        <w:t xml:space="preserve"> 1</w:t>
      </w:r>
      <w:r w:rsidR="00C14E43" w:rsidRPr="00791422">
        <w:rPr>
          <w:b/>
        </w:rPr>
        <w:t xml:space="preserve">: This </w:t>
      </w:r>
      <w:r w:rsidR="00C14E43">
        <w:rPr>
          <w:b/>
        </w:rPr>
        <w:t xml:space="preserve">release does not support </w:t>
      </w:r>
      <w:r w:rsidR="00C14E43" w:rsidRPr="00791422">
        <w:rPr>
          <w:b/>
        </w:rPr>
        <w:t xml:space="preserve">the </w:t>
      </w:r>
      <w:r w:rsidR="00D44009">
        <w:rPr>
          <w:b/>
        </w:rPr>
        <w:t xml:space="preserve">VSP </w:t>
      </w:r>
      <w:r w:rsidR="00DC7DC7">
        <w:rPr>
          <w:b/>
        </w:rPr>
        <w:t>F/G</w:t>
      </w:r>
      <w:r w:rsidR="00EA6DE1">
        <w:rPr>
          <w:b/>
        </w:rPr>
        <w:t xml:space="preserve"> 130</w:t>
      </w:r>
      <w:r w:rsidR="0041727D">
        <w:rPr>
          <w:b/>
        </w:rPr>
        <w:t>/</w:t>
      </w:r>
      <w:r w:rsidR="00D44009">
        <w:rPr>
          <w:b/>
        </w:rPr>
        <w:t>350</w:t>
      </w:r>
      <w:r w:rsidR="00743DFA">
        <w:rPr>
          <w:b/>
        </w:rPr>
        <w:t>/</w:t>
      </w:r>
      <w:r w:rsidR="00D44009">
        <w:rPr>
          <w:b/>
        </w:rPr>
        <w:t>370</w:t>
      </w:r>
      <w:r w:rsidR="00743DFA">
        <w:rPr>
          <w:b/>
        </w:rPr>
        <w:t>/</w:t>
      </w:r>
      <w:r w:rsidR="00D44009">
        <w:rPr>
          <w:b/>
        </w:rPr>
        <w:t>700</w:t>
      </w:r>
      <w:r w:rsidR="00743DFA">
        <w:rPr>
          <w:b/>
        </w:rPr>
        <w:t>/</w:t>
      </w:r>
      <w:r w:rsidR="00D44009">
        <w:rPr>
          <w:b/>
        </w:rPr>
        <w:t>900</w:t>
      </w:r>
      <w:r w:rsidR="00C14E43" w:rsidRPr="00791422">
        <w:rPr>
          <w:b/>
        </w:rPr>
        <w:t xml:space="preserve"> subsystems</w:t>
      </w:r>
      <w:r w:rsidR="00C14E43">
        <w:t xml:space="preserve">. Do not install this release on </w:t>
      </w:r>
      <w:r w:rsidR="00D44009">
        <w:t>those subsystems. Instead, use Hi-Track Monitor version 8.1 or later.</w:t>
      </w:r>
    </w:p>
    <w:p w14:paraId="4DFBBEB2" w14:textId="4DCFA3E1" w:rsidR="003633B7" w:rsidRDefault="003633B7" w:rsidP="00C14E43">
      <w:pPr>
        <w:tabs>
          <w:tab w:val="left" w:pos="4052"/>
        </w:tabs>
      </w:pPr>
    </w:p>
    <w:p w14:paraId="6795290B" w14:textId="25FA06C2" w:rsidR="003633B7" w:rsidRPr="00DA41A2" w:rsidRDefault="003633B7" w:rsidP="00DA41A2">
      <w:pPr>
        <w:rPr>
          <w:rFonts w:eastAsia="Times New Roman"/>
          <w:sz w:val="22"/>
        </w:rPr>
      </w:pPr>
      <w:r w:rsidRPr="003633B7">
        <w:rPr>
          <w:b/>
        </w:rPr>
        <w:t xml:space="preserve">Note </w:t>
      </w:r>
      <w:r>
        <w:rPr>
          <w:b/>
        </w:rPr>
        <w:t>2</w:t>
      </w:r>
      <w:r w:rsidRPr="003633B7">
        <w:rPr>
          <w:b/>
        </w:rPr>
        <w:t>: Please disable automatic Windows updates on all SVPs running Vista</w:t>
      </w:r>
      <w:r>
        <w:t xml:space="preserve">. </w:t>
      </w:r>
      <w:r w:rsidR="00DA41A2">
        <w:t xml:space="preserve">To do this, </w:t>
      </w:r>
      <w:r w:rsidR="00DA41A2">
        <w:rPr>
          <w:rFonts w:eastAsia="Times New Roman"/>
        </w:rPr>
        <w:t>go to Control Panel -&gt; Windows Update, click “Change settings”, and choose “Never check for updates” and click OK</w:t>
      </w:r>
      <w:r w:rsidR="002B14A7">
        <w:rPr>
          <w:rFonts w:eastAsia="Times New Roman"/>
        </w:rPr>
        <w:t>, and restart the SVP</w:t>
      </w:r>
      <w:r w:rsidR="00DA41A2">
        <w:rPr>
          <w:rFonts w:eastAsia="Times New Roman"/>
        </w:rPr>
        <w:t>.</w:t>
      </w:r>
      <w:r w:rsidR="00FD4D59">
        <w:rPr>
          <w:rFonts w:eastAsia="Times New Roman"/>
        </w:rPr>
        <w:t xml:space="preserve"> Otherwise, the installer may freeze (see additional notes under Appendix </w:t>
      </w:r>
      <w:r w:rsidR="00DA48BF">
        <w:rPr>
          <w:rFonts w:eastAsia="Times New Roman"/>
        </w:rPr>
        <w:t>B</w:t>
      </w:r>
      <w:bookmarkStart w:id="0" w:name="_GoBack"/>
      <w:bookmarkEnd w:id="0"/>
      <w:r w:rsidR="00FD4D59">
        <w:rPr>
          <w:rFonts w:eastAsia="Times New Roman"/>
        </w:rPr>
        <w:t>).</w:t>
      </w:r>
    </w:p>
    <w:p w14:paraId="52B61903" w14:textId="77777777" w:rsidR="00C14E43" w:rsidRDefault="00C14E43" w:rsidP="003633B7">
      <w:pPr>
        <w:tabs>
          <w:tab w:val="left" w:pos="4052"/>
        </w:tabs>
        <w:ind w:left="0"/>
        <w:rPr>
          <w:b/>
        </w:rPr>
      </w:pPr>
    </w:p>
    <w:p w14:paraId="2F0A1702" w14:textId="338FC109" w:rsidR="00C03182" w:rsidRDefault="00791422" w:rsidP="009E50CF">
      <w:pPr>
        <w:tabs>
          <w:tab w:val="left" w:pos="4052"/>
        </w:tabs>
      </w:pPr>
      <w:r w:rsidRPr="00791422">
        <w:rPr>
          <w:b/>
        </w:rPr>
        <w:t>Note</w:t>
      </w:r>
      <w:r w:rsidR="00C03182">
        <w:rPr>
          <w:b/>
        </w:rPr>
        <w:t xml:space="preserve"> </w:t>
      </w:r>
      <w:r w:rsidR="003633B7">
        <w:rPr>
          <w:b/>
        </w:rPr>
        <w:t>3</w:t>
      </w:r>
      <w:r w:rsidRPr="00791422">
        <w:rPr>
          <w:b/>
        </w:rPr>
        <w:t xml:space="preserve">: This </w:t>
      </w:r>
      <w:r w:rsidR="00E122C2">
        <w:rPr>
          <w:b/>
        </w:rPr>
        <w:t xml:space="preserve">release </w:t>
      </w:r>
      <w:r w:rsidR="007F1178">
        <w:rPr>
          <w:b/>
        </w:rPr>
        <w:t xml:space="preserve">does not </w:t>
      </w:r>
      <w:r w:rsidR="009E50CF">
        <w:rPr>
          <w:b/>
        </w:rPr>
        <w:t xml:space="preserve">support </w:t>
      </w:r>
      <w:r w:rsidRPr="00791422">
        <w:rPr>
          <w:b/>
        </w:rPr>
        <w:t>the USP and NSC subsystems</w:t>
      </w:r>
      <w:r>
        <w:t xml:space="preserve">. </w:t>
      </w:r>
      <w:r w:rsidR="00C03182">
        <w:t>Do not install this release on USP/NSC.</w:t>
      </w:r>
    </w:p>
    <w:p w14:paraId="31216F6F" w14:textId="77777777" w:rsidR="00C03182" w:rsidRDefault="00C03182" w:rsidP="00FF4200">
      <w:pPr>
        <w:tabs>
          <w:tab w:val="left" w:pos="4052"/>
        </w:tabs>
      </w:pPr>
    </w:p>
    <w:p w14:paraId="6ABCC8A4" w14:textId="25300A7A" w:rsidR="00D125A0" w:rsidRDefault="00C03182" w:rsidP="00FF4200">
      <w:pPr>
        <w:tabs>
          <w:tab w:val="left" w:pos="4052"/>
        </w:tabs>
      </w:pPr>
      <w:r w:rsidRPr="00C03182">
        <w:rPr>
          <w:b/>
        </w:rPr>
        <w:t xml:space="preserve">Note </w:t>
      </w:r>
      <w:r w:rsidR="003633B7">
        <w:rPr>
          <w:b/>
        </w:rPr>
        <w:t>4</w:t>
      </w:r>
      <w:r w:rsidRPr="00C03182">
        <w:rPr>
          <w:b/>
        </w:rPr>
        <w:t>:</w:t>
      </w:r>
      <w:r>
        <w:t xml:space="preserve"> </w:t>
      </w:r>
      <w:r w:rsidRPr="0083794F">
        <w:rPr>
          <w:b/>
        </w:rPr>
        <w:t xml:space="preserve">This release has a prerequisite for </w:t>
      </w:r>
      <w:r w:rsidR="00791422" w:rsidRPr="0083794F">
        <w:rPr>
          <w:b/>
        </w:rPr>
        <w:t xml:space="preserve">USP V </w:t>
      </w:r>
      <w:r w:rsidRPr="0083794F">
        <w:rPr>
          <w:b/>
        </w:rPr>
        <w:t>/</w:t>
      </w:r>
      <w:r w:rsidR="00791422" w:rsidRPr="0083794F">
        <w:rPr>
          <w:b/>
        </w:rPr>
        <w:t xml:space="preserve"> VM </w:t>
      </w:r>
      <w:r w:rsidRPr="0083794F">
        <w:rPr>
          <w:b/>
        </w:rPr>
        <w:t>that requires the SVP to be at Vista Service</w:t>
      </w:r>
      <w:r w:rsidR="00200791" w:rsidRPr="0083794F">
        <w:rPr>
          <w:b/>
        </w:rPr>
        <w:t xml:space="preserve"> Pack 2.</w:t>
      </w:r>
      <w:r w:rsidR="00200791">
        <w:t xml:space="preserve"> This release will not work on Vista below Service Pack 2</w:t>
      </w:r>
      <w:r w:rsidR="006B20B3">
        <w:t>, or Windows XP</w:t>
      </w:r>
      <w:r w:rsidR="00200791">
        <w:t>.</w:t>
      </w:r>
    </w:p>
    <w:p w14:paraId="22AA08F7" w14:textId="7026BA67" w:rsidR="00FD218C" w:rsidRDefault="00FD218C" w:rsidP="00FF4200">
      <w:pPr>
        <w:tabs>
          <w:tab w:val="left" w:pos="4052"/>
        </w:tabs>
      </w:pPr>
    </w:p>
    <w:p w14:paraId="676A3B2E" w14:textId="77777777" w:rsidR="00481149" w:rsidRPr="00C54550" w:rsidRDefault="00481149" w:rsidP="00C54550">
      <w:pPr>
        <w:pStyle w:val="Heading2"/>
      </w:pPr>
      <w:r w:rsidRPr="00C54550">
        <w:t>Description of Release</w:t>
      </w:r>
    </w:p>
    <w:p w14:paraId="716D3A5C" w14:textId="507B89BE" w:rsidR="00DF117F" w:rsidRDefault="00DF117F" w:rsidP="00DF117F">
      <w:r>
        <w:t xml:space="preserve">Hi-Track SVP Agent is a site agent application that monitors </w:t>
      </w:r>
      <w:r w:rsidR="00AE0F4A">
        <w:t xml:space="preserve">some </w:t>
      </w:r>
      <w:r>
        <w:t>enterprise R</w:t>
      </w:r>
      <w:r w:rsidR="00D91766">
        <w:t>AID</w:t>
      </w:r>
      <w:r>
        <w:t xml:space="preserve"> devices and acquires error and configuration related information.</w:t>
      </w:r>
    </w:p>
    <w:p w14:paraId="0664D5C9" w14:textId="77777777" w:rsidR="00481149" w:rsidRPr="00C54550" w:rsidRDefault="00481149" w:rsidP="00C54550">
      <w:pPr>
        <w:pStyle w:val="Heading2"/>
      </w:pPr>
      <w:r w:rsidRPr="00C54550">
        <w:t>Related Program Versions</w:t>
      </w:r>
    </w:p>
    <w:p w14:paraId="656A24F5" w14:textId="77777777" w:rsidR="0055618E" w:rsidRDefault="0055618E" w:rsidP="0055618E">
      <w:r>
        <w:t>Hi-Track SVP Agent for enterprise Raid system.</w:t>
      </w:r>
    </w:p>
    <w:p w14:paraId="3418B9E6" w14:textId="77777777" w:rsidR="00481149" w:rsidRPr="00C54550" w:rsidRDefault="00481149" w:rsidP="00C54550">
      <w:pPr>
        <w:pStyle w:val="Heading2"/>
      </w:pPr>
      <w:r w:rsidRPr="00C54550">
        <w:t>Related Document Versions</w:t>
      </w:r>
    </w:p>
    <w:p w14:paraId="33A07FCD" w14:textId="77777777" w:rsidR="004F2F9C" w:rsidRDefault="00F25948" w:rsidP="00C90D19">
      <w:pPr>
        <w:tabs>
          <w:tab w:val="left" w:pos="2866"/>
        </w:tabs>
      </w:pPr>
      <w:r>
        <w:t>None</w:t>
      </w:r>
    </w:p>
    <w:p w14:paraId="2F53ADBF" w14:textId="77777777" w:rsidR="00481149" w:rsidRPr="00C54550" w:rsidRDefault="00481149" w:rsidP="00C54550">
      <w:pPr>
        <w:pStyle w:val="Heading2"/>
      </w:pPr>
      <w:r w:rsidRPr="00C54550">
        <w:t>Related Part #s or Products</w:t>
      </w:r>
    </w:p>
    <w:p w14:paraId="383D3CCC" w14:textId="77777777" w:rsidR="004F2F9C" w:rsidRPr="00EF5048" w:rsidRDefault="002B0484" w:rsidP="00C54550">
      <w:r>
        <w:t>None</w:t>
      </w:r>
    </w:p>
    <w:p w14:paraId="205231BB" w14:textId="77777777" w:rsidR="00481149" w:rsidRPr="00C54550" w:rsidRDefault="00481149" w:rsidP="00C54550">
      <w:pPr>
        <w:pStyle w:val="Heading2"/>
      </w:pPr>
      <w:r w:rsidRPr="00C54550">
        <w:t>Field Change</w:t>
      </w:r>
    </w:p>
    <w:p w14:paraId="0C4AA1B0" w14:textId="77777777" w:rsidR="004F2F9C" w:rsidRDefault="002B0484" w:rsidP="00C54550">
      <w:r>
        <w:t>None</w:t>
      </w:r>
    </w:p>
    <w:p w14:paraId="26298CBE" w14:textId="77777777" w:rsidR="00481149" w:rsidRPr="00C54550" w:rsidRDefault="00481149" w:rsidP="00C54550">
      <w:pPr>
        <w:pStyle w:val="Heading2"/>
      </w:pPr>
      <w:r w:rsidRPr="00C54550">
        <w:t>Factory Shipment / Effective Date</w:t>
      </w:r>
    </w:p>
    <w:p w14:paraId="23092A85" w14:textId="77777777" w:rsidR="004F2F9C" w:rsidRPr="00EF5048" w:rsidRDefault="002B0484" w:rsidP="00C54550">
      <w:r>
        <w:t>None</w:t>
      </w:r>
    </w:p>
    <w:p w14:paraId="31B0ED76" w14:textId="77777777" w:rsidR="00481149" w:rsidRPr="00C54550" w:rsidRDefault="00481149" w:rsidP="00C54550">
      <w:pPr>
        <w:pStyle w:val="Heading2"/>
      </w:pPr>
      <w:r w:rsidRPr="00C54550">
        <w:t>Restrictions</w:t>
      </w:r>
    </w:p>
    <w:p w14:paraId="6B9283BC" w14:textId="4061C65F" w:rsidR="004F2F9C" w:rsidRDefault="00786C2E" w:rsidP="00786C2E">
      <w:r>
        <w:t>No exports to Embargoed/Terrorist/Sanctioned countries, or persons or entities on Restricted Parties Lists, e.g., Entities List, Un-Verified List, Specially Designated Nationals List, other government lists or as prohibited by US, Japanese government, H</w:t>
      </w:r>
      <w:r w:rsidR="00296844">
        <w:t>itachi Vantara</w:t>
      </w:r>
      <w:r>
        <w:t>, or Hitachi Policy.</w:t>
      </w:r>
    </w:p>
    <w:p w14:paraId="6ED4A227" w14:textId="77777777" w:rsidR="00481149" w:rsidRPr="00C54550" w:rsidRDefault="00481149" w:rsidP="00C54550">
      <w:pPr>
        <w:pStyle w:val="Heading2"/>
      </w:pPr>
      <w:r w:rsidRPr="00C54550">
        <w:lastRenderedPageBreak/>
        <w:t>Export Regulation</w:t>
      </w:r>
    </w:p>
    <w:p w14:paraId="6E5DB0DF" w14:textId="79C04906" w:rsidR="008B4E0E" w:rsidRDefault="008B4E0E" w:rsidP="008B4E0E">
      <w:r>
        <w:t>No physical exports to</w:t>
      </w:r>
      <w:r w:rsidR="001A15A9">
        <w:t xml:space="preserve"> all EEC countries:</w:t>
      </w:r>
      <w:r>
        <w:t xml:space="preserve"> Russia</w:t>
      </w:r>
      <w:r w:rsidR="008A7BDE">
        <w:t>, Armenia, Belarus, Kazakhstan, and Kyrgyzstan</w:t>
      </w:r>
      <w:r>
        <w:t xml:space="preserve"> (for example, “DVD media” or “pre-installed in hardware”).</w:t>
      </w:r>
      <w:r w:rsidR="004154A2">
        <w:t xml:space="preserve"> Only electronic shipment (for example, download) is permitted.</w:t>
      </w:r>
      <w:r w:rsidR="008A7BDE">
        <w:t xml:space="preserve"> </w:t>
      </w:r>
      <w:r w:rsidR="008A7BDE" w:rsidRPr="008A7BDE">
        <w:t>For shipments made available via an electronic download Service &amp; Support can only be provided from a country outside EEC Countries (no in country support is permitted</w:t>
      </w:r>
      <w:r w:rsidR="008A7BDE">
        <w:t>).</w:t>
      </w:r>
    </w:p>
    <w:p w14:paraId="1B573AD9" w14:textId="77777777" w:rsidR="00481149" w:rsidRPr="00C54550" w:rsidRDefault="00481149" w:rsidP="00C54550">
      <w:pPr>
        <w:pStyle w:val="Heading2"/>
      </w:pPr>
      <w:r w:rsidRPr="00C54550">
        <w:t>List of Appendices</w:t>
      </w:r>
    </w:p>
    <w:p w14:paraId="7C795698" w14:textId="0B9B319F" w:rsidR="00F40279" w:rsidRPr="00CC1445" w:rsidRDefault="00775AEA" w:rsidP="00F40279">
      <w:pPr>
        <w:pStyle w:val="ListParagraph"/>
        <w:numPr>
          <w:ilvl w:val="0"/>
          <w:numId w:val="13"/>
        </w:numPr>
      </w:pPr>
      <w:r w:rsidRPr="00756D9B">
        <w:t xml:space="preserve">Appendix A: </w:t>
      </w:r>
      <w:r w:rsidR="00300F2D">
        <w:t>Bugs Fixed in this Version</w:t>
      </w:r>
    </w:p>
    <w:p w14:paraId="10EF7D19" w14:textId="2F2C91FE" w:rsidR="00ED4F9D" w:rsidRDefault="00256313" w:rsidP="007F1148">
      <w:pPr>
        <w:pStyle w:val="ListParagraph"/>
        <w:numPr>
          <w:ilvl w:val="1"/>
          <w:numId w:val="13"/>
        </w:numPr>
      </w:pPr>
      <w:r>
        <w:t>Some systems were not included in dump and/or microcode polling that were capable of centralized dumps or remote microcode updates.</w:t>
      </w:r>
    </w:p>
    <w:p w14:paraId="29F37308" w14:textId="58F924BD" w:rsidR="00256313" w:rsidRDefault="007873DD" w:rsidP="007F1148">
      <w:pPr>
        <w:pStyle w:val="ListParagraph"/>
        <w:numPr>
          <w:ilvl w:val="1"/>
          <w:numId w:val="13"/>
        </w:numPr>
      </w:pPr>
      <w:r>
        <w:t xml:space="preserve">Remote microcode updates would </w:t>
      </w:r>
      <w:r w:rsidR="00334B65">
        <w:t>never start</w:t>
      </w:r>
      <w:r>
        <w:t xml:space="preserve"> for any Site Manager that had multiple systems reporting to it.</w:t>
      </w:r>
    </w:p>
    <w:p w14:paraId="2632CC22" w14:textId="48022DDA" w:rsidR="00C60D49" w:rsidRDefault="00C60D49" w:rsidP="007F1148">
      <w:pPr>
        <w:pStyle w:val="ListParagraph"/>
        <w:numPr>
          <w:ilvl w:val="1"/>
          <w:numId w:val="13"/>
        </w:numPr>
      </w:pPr>
      <w:r>
        <w:t>If the system was already busy with a dump or a remote microcode update, and another remote microcode update was requested, the error message would incorrectly indicate that the system was busy sending configuration data to Hitachi Vantara.</w:t>
      </w:r>
    </w:p>
    <w:p w14:paraId="16A5D904" w14:textId="354E5170" w:rsidR="006964D3" w:rsidRDefault="006964D3" w:rsidP="007F1148">
      <w:pPr>
        <w:pStyle w:val="ListParagraph"/>
        <w:numPr>
          <w:ilvl w:val="1"/>
          <w:numId w:val="13"/>
        </w:numPr>
      </w:pPr>
      <w:r>
        <w:t>If a microcode upgrade timed out</w:t>
      </w:r>
      <w:r w:rsidR="00645A91">
        <w:t>, the Site Manager would send an error message for all systems reporting to it, instead of just the system where the remote microcode upgrade failed.</w:t>
      </w:r>
    </w:p>
    <w:p w14:paraId="18971333" w14:textId="07708D92" w:rsidR="00B61142" w:rsidRDefault="00B61142" w:rsidP="007F1148">
      <w:pPr>
        <w:pStyle w:val="ListParagraph"/>
        <w:numPr>
          <w:ilvl w:val="1"/>
          <w:numId w:val="13"/>
        </w:numPr>
      </w:pPr>
      <w:r>
        <w:t xml:space="preserve">The </w:t>
      </w:r>
      <w:r w:rsidRPr="0007772B">
        <w:t>new transport destinations usdenhtinet01.hds.com and usdenhtinet02.hds.com</w:t>
      </w:r>
      <w:r>
        <w:t xml:space="preserve"> were mistakenly added to Site Managers running on systems with Windows </w:t>
      </w:r>
      <w:r w:rsidR="00A108F5">
        <w:t>Vista</w:t>
      </w:r>
      <w:r>
        <w:t xml:space="preserve"> or 2008 installed</w:t>
      </w:r>
      <w:r w:rsidR="00485341">
        <w:t>, which do not support TLS 1.2</w:t>
      </w:r>
      <w:r w:rsidR="00B608BD">
        <w:t>.</w:t>
      </w:r>
    </w:p>
    <w:p w14:paraId="0932903E" w14:textId="5DF25DB6" w:rsidR="009258DF" w:rsidRDefault="009258DF" w:rsidP="007F1148">
      <w:pPr>
        <w:pStyle w:val="ListParagraph"/>
        <w:numPr>
          <w:ilvl w:val="1"/>
          <w:numId w:val="13"/>
        </w:numPr>
      </w:pPr>
      <w:r>
        <w:t>A “Failed” status message would be incorrectly sent to Hitachi Vantara after the first and second microcode retry. The message will now only be sent after the third and final retry.</w:t>
      </w:r>
    </w:p>
    <w:p w14:paraId="3601F911" w14:textId="7AA45C4E" w:rsidR="00105D91" w:rsidRDefault="00105D91" w:rsidP="007F1148">
      <w:pPr>
        <w:pStyle w:val="ListParagraph"/>
        <w:numPr>
          <w:ilvl w:val="1"/>
          <w:numId w:val="13"/>
        </w:numPr>
      </w:pPr>
      <w:r>
        <w:t>The Site Manager would, in some cases, stop monitoring the progress of an update on a system.</w:t>
      </w:r>
    </w:p>
    <w:p w14:paraId="0E760431" w14:textId="1F0CE69B" w:rsidR="009D2FB5" w:rsidRDefault="009D2FB5" w:rsidP="007F1148">
      <w:pPr>
        <w:pStyle w:val="ListParagraph"/>
        <w:numPr>
          <w:ilvl w:val="1"/>
          <w:numId w:val="13"/>
        </w:numPr>
      </w:pPr>
      <w:r>
        <w:t xml:space="preserve">Disabling configuration data transfer to Hitachi Vantara </w:t>
      </w:r>
      <w:r w:rsidR="00FC4798">
        <w:t>did not</w:t>
      </w:r>
      <w:r>
        <w:t xml:space="preserve"> disable performance data generation and transfer</w:t>
      </w:r>
      <w:r w:rsidR="00FC4798">
        <w:t>.</w:t>
      </w:r>
    </w:p>
    <w:p w14:paraId="4CF794F6" w14:textId="7958FE65" w:rsidR="00FC4798" w:rsidRDefault="00FC4798" w:rsidP="00FC4798">
      <w:pPr>
        <w:pStyle w:val="ListParagraph"/>
        <w:numPr>
          <w:ilvl w:val="1"/>
          <w:numId w:val="13"/>
        </w:numPr>
      </w:pPr>
      <w:r>
        <w:t>Disabling configuration data transfer to Hitachi Vantara resulted in unnecessary log messages about the disabled status.</w:t>
      </w:r>
    </w:p>
    <w:p w14:paraId="662454E3" w14:textId="60B7F56B" w:rsidR="003D453A" w:rsidRDefault="003D453A" w:rsidP="00FC4798">
      <w:pPr>
        <w:pStyle w:val="ListParagraph"/>
        <w:numPr>
          <w:ilvl w:val="1"/>
          <w:numId w:val="13"/>
        </w:numPr>
      </w:pPr>
      <w:r>
        <w:t>The version of the SVP Agent running on each subsystem was not transmitted to Hitachi Vantara in the dump/microcode polling.</w:t>
      </w:r>
    </w:p>
    <w:p w14:paraId="2A1C1208" w14:textId="64E6C325" w:rsidR="000B3F55" w:rsidRDefault="000B3F55" w:rsidP="00FC4798">
      <w:pPr>
        <w:pStyle w:val="ListParagraph"/>
        <w:numPr>
          <w:ilvl w:val="1"/>
          <w:numId w:val="13"/>
        </w:numPr>
      </w:pPr>
      <w:r>
        <w:t>Incorrect log messages would be generated for any system that was not reachable from a Site Manager performing a microcode upgrade on any system.</w:t>
      </w:r>
    </w:p>
    <w:p w14:paraId="03D95B14" w14:textId="590A27C4" w:rsidR="00346163" w:rsidRDefault="00346163" w:rsidP="00346163">
      <w:pPr>
        <w:pStyle w:val="ListParagraph"/>
        <w:numPr>
          <w:ilvl w:val="1"/>
          <w:numId w:val="13"/>
        </w:numPr>
      </w:pPr>
      <w:r>
        <w:t xml:space="preserve">Remote microcode updates would never start for a system that </w:t>
      </w:r>
      <w:r w:rsidR="00EC0EA2">
        <w:t>had an extended period of no network connectivity.</w:t>
      </w:r>
    </w:p>
    <w:p w14:paraId="75A47426" w14:textId="62B589A8" w:rsidR="009D0D9B" w:rsidRDefault="009D0D9B" w:rsidP="00346163">
      <w:pPr>
        <w:pStyle w:val="ListParagraph"/>
        <w:numPr>
          <w:ilvl w:val="1"/>
          <w:numId w:val="13"/>
        </w:numPr>
      </w:pPr>
      <w:r>
        <w:t>If an error occurred transferring dump files to the Site Manager from the system, the corrupted files would be transferred to Hitachi Vantara.</w:t>
      </w:r>
      <w:r w:rsidR="002D22EF">
        <w:t xml:space="preserve"> The Site Manager will now retry the </w:t>
      </w:r>
      <w:r w:rsidR="008802B8">
        <w:t>file</w:t>
      </w:r>
      <w:r w:rsidR="002D22EF">
        <w:t xml:space="preserve"> transfer for a limited number of attempts.</w:t>
      </w:r>
    </w:p>
    <w:p w14:paraId="696EE8DE" w14:textId="52045D2F" w:rsidR="00441852" w:rsidRDefault="00441852" w:rsidP="00346163">
      <w:pPr>
        <w:pStyle w:val="ListParagraph"/>
        <w:numPr>
          <w:ilvl w:val="1"/>
          <w:numId w:val="13"/>
        </w:numPr>
      </w:pPr>
      <w:r>
        <w:t>It was possible to add the same IP address</w:t>
      </w:r>
      <w:r w:rsidR="00714AF0">
        <w:t xml:space="preserve"> twice to the system list.</w:t>
      </w:r>
    </w:p>
    <w:p w14:paraId="0C77A2AD" w14:textId="795DCD4E" w:rsidR="00991DE3" w:rsidRDefault="00991DE3" w:rsidP="00346163">
      <w:pPr>
        <w:pStyle w:val="ListParagraph"/>
        <w:numPr>
          <w:ilvl w:val="1"/>
          <w:numId w:val="13"/>
        </w:numPr>
      </w:pPr>
      <w:r>
        <w:t>VSP G/F 1500/1000 HDP compression data and some VSP HDP data was not generated or transferred to Hitachi Vantara.</w:t>
      </w:r>
    </w:p>
    <w:p w14:paraId="1E9A1349" w14:textId="031CBA06" w:rsidR="00283752" w:rsidRDefault="00283752" w:rsidP="00346163">
      <w:pPr>
        <w:pStyle w:val="ListParagraph"/>
        <w:numPr>
          <w:ilvl w:val="1"/>
          <w:numId w:val="13"/>
        </w:numPr>
      </w:pPr>
      <w:r>
        <w:t xml:space="preserve">The format of the cache performance data did not indicate the overall performance </w:t>
      </w:r>
      <w:r w:rsidR="00384AEF">
        <w:t xml:space="preserve">statistics </w:t>
      </w:r>
      <w:r>
        <w:t>properly.</w:t>
      </w:r>
    </w:p>
    <w:p w14:paraId="26A2AEA9" w14:textId="33F4A4EC" w:rsidR="0023228B" w:rsidRDefault="0023228B" w:rsidP="00346163">
      <w:pPr>
        <w:pStyle w:val="ListParagraph"/>
        <w:numPr>
          <w:ilvl w:val="1"/>
          <w:numId w:val="13"/>
        </w:numPr>
      </w:pPr>
      <w:r>
        <w:t>Remote microcode updates that ha</w:t>
      </w:r>
      <w:r w:rsidR="009D250D">
        <w:t>d</w:t>
      </w:r>
      <w:r>
        <w:t xml:space="preserve"> stalled </w:t>
      </w:r>
      <w:r w:rsidR="00C00B56">
        <w:t>were not aborted</w:t>
      </w:r>
      <w:r w:rsidR="009D250D">
        <w:t>.</w:t>
      </w:r>
    </w:p>
    <w:p w14:paraId="4B67CF65" w14:textId="2CF684EA" w:rsidR="00DF1C67" w:rsidRDefault="00DF1C67" w:rsidP="00346163">
      <w:pPr>
        <w:pStyle w:val="ListParagraph"/>
        <w:numPr>
          <w:ilvl w:val="1"/>
          <w:numId w:val="13"/>
        </w:numPr>
      </w:pPr>
      <w:r>
        <w:t>In some cases, an error connecting to any system from the Site Manager would result in the Site Manager being unable to perform dump and microcode upgrade polling to Hitachi Vantara.</w:t>
      </w:r>
    </w:p>
    <w:p w14:paraId="4E9EE945" w14:textId="45940BB4" w:rsidR="00CC1445" w:rsidRDefault="00CC1445" w:rsidP="005E4057">
      <w:pPr>
        <w:pStyle w:val="ListParagraph"/>
        <w:numPr>
          <w:ilvl w:val="0"/>
          <w:numId w:val="13"/>
        </w:numPr>
      </w:pPr>
      <w:r>
        <w:t>Appendix B: Changes</w:t>
      </w:r>
      <w:r w:rsidR="00BD33DE">
        <w:t xml:space="preserve"> and Enhancements</w:t>
      </w:r>
    </w:p>
    <w:p w14:paraId="218FA2AD" w14:textId="2256ED37" w:rsidR="004A6BE6" w:rsidRDefault="004A6BE6" w:rsidP="004A6BE6">
      <w:pPr>
        <w:pStyle w:val="ListParagraph"/>
        <w:numPr>
          <w:ilvl w:val="1"/>
          <w:numId w:val="13"/>
        </w:numPr>
      </w:pPr>
      <w:r>
        <w:t xml:space="preserve">SSL certificate validation will now be automatically enabled on upgrading to D.0. If the customer firewall will not permit SSL certificate validation and/or is configured to connect to the IP address of the transfer server rather than the domain name, SSL certificate validation will need to be manually disabled for each transport method as well as for dump/microcode polling. However, this is not </w:t>
      </w:r>
      <w:r>
        <w:lastRenderedPageBreak/>
        <w:t>recommended as SSL certificate validation is an important security measure that prevents impersonation of Hitachi Vantara web servers.</w:t>
      </w:r>
    </w:p>
    <w:p w14:paraId="7BD725F4" w14:textId="2A15CC96" w:rsidR="00FC4798" w:rsidRDefault="00FC4798" w:rsidP="004A6BE6">
      <w:pPr>
        <w:pStyle w:val="ListParagraph"/>
        <w:numPr>
          <w:ilvl w:val="1"/>
          <w:numId w:val="13"/>
        </w:numPr>
      </w:pPr>
      <w:r>
        <w:t>The distinction between a daily and a weekly call home to Hitachi Vantara has been removed since configuration data is now always transferred on a call home.</w:t>
      </w:r>
    </w:p>
    <w:p w14:paraId="21567102" w14:textId="345C23E2" w:rsidR="00D51953" w:rsidRDefault="00D51953" w:rsidP="004A6BE6">
      <w:pPr>
        <w:pStyle w:val="ListParagraph"/>
        <w:numPr>
          <w:ilvl w:val="1"/>
          <w:numId w:val="13"/>
        </w:numPr>
      </w:pPr>
      <w:r>
        <w:t xml:space="preserve">It is now possible to cancel microcode </w:t>
      </w:r>
      <w:r w:rsidR="001658C9">
        <w:t xml:space="preserve">requests, as long as the update </w:t>
      </w:r>
      <w:r w:rsidR="00575BF6">
        <w:t xml:space="preserve">application </w:t>
      </w:r>
      <w:r w:rsidR="001658C9">
        <w:t>process has not been started.</w:t>
      </w:r>
    </w:p>
    <w:p w14:paraId="2ABAB2D6" w14:textId="43057B19" w:rsidR="00BA019F" w:rsidRDefault="00B35BAF" w:rsidP="003629DD">
      <w:pPr>
        <w:pStyle w:val="ListParagraph"/>
        <w:numPr>
          <w:ilvl w:val="1"/>
          <w:numId w:val="13"/>
        </w:numPr>
      </w:pPr>
      <w:r>
        <w:t>Certain</w:t>
      </w:r>
      <w:r w:rsidR="00BA019F">
        <w:t xml:space="preserve"> outdated or corrupted performance data files will now automatically be deleted.</w:t>
      </w:r>
    </w:p>
    <w:p w14:paraId="4450344B" w14:textId="1ACA2412" w:rsidR="004A7DB5" w:rsidRDefault="004A7DB5" w:rsidP="003629DD">
      <w:pPr>
        <w:pStyle w:val="ListParagraph"/>
        <w:numPr>
          <w:ilvl w:val="1"/>
          <w:numId w:val="13"/>
        </w:numPr>
      </w:pPr>
      <w:r>
        <w:t>A maximum of 5 SIM-triggered auto dumps will be generated during a calendar day.</w:t>
      </w:r>
    </w:p>
    <w:p w14:paraId="57D685B4" w14:textId="3A33C4D1" w:rsidR="00601AA0" w:rsidRDefault="005C6958" w:rsidP="003629DD">
      <w:pPr>
        <w:pStyle w:val="ListParagraph"/>
        <w:numPr>
          <w:ilvl w:val="1"/>
          <w:numId w:val="13"/>
        </w:numPr>
      </w:pPr>
      <w:r>
        <w:t>The MiscFront.dat data, containing additional data from the Site Manager, will now be transported with every subsystem connected to the Site Manager rather than just one of them.</w:t>
      </w:r>
    </w:p>
    <w:p w14:paraId="6F12696E" w14:textId="524E092F" w:rsidR="007D2DD0" w:rsidRDefault="007D2DD0" w:rsidP="003629DD">
      <w:pPr>
        <w:pStyle w:val="ListParagraph"/>
        <w:numPr>
          <w:ilvl w:val="1"/>
          <w:numId w:val="13"/>
        </w:numPr>
      </w:pPr>
      <w:r>
        <w:t>The Site Manager will now collect the time zone information from the system it is installed on and include it in MiscFront.dat.</w:t>
      </w:r>
    </w:p>
    <w:p w14:paraId="16C34125" w14:textId="2C94E9D7" w:rsidR="00DE593D" w:rsidRDefault="00DE593D" w:rsidP="003629DD">
      <w:pPr>
        <w:pStyle w:val="ListParagraph"/>
        <w:numPr>
          <w:ilvl w:val="1"/>
          <w:numId w:val="13"/>
        </w:numPr>
      </w:pPr>
      <w:r>
        <w:t>The Visual Studio 2015 C++ Redistributable is now included instead of the 2012 version.</w:t>
      </w:r>
    </w:p>
    <w:p w14:paraId="6C588A36" w14:textId="43E099DB" w:rsidR="005F1A68" w:rsidRDefault="005F1A68" w:rsidP="005F1A68">
      <w:pPr>
        <w:numPr>
          <w:ilvl w:val="2"/>
          <w:numId w:val="13"/>
        </w:numPr>
        <w:rPr>
          <w:rFonts w:eastAsia="Times New Roman"/>
          <w:sz w:val="22"/>
        </w:rPr>
      </w:pPr>
      <w:r>
        <w:rPr>
          <w:rFonts w:eastAsia="Times New Roman"/>
          <w:b/>
          <w:bCs/>
        </w:rPr>
        <w:t xml:space="preserve">Vista SVPs: </w:t>
      </w:r>
      <w:r>
        <w:rPr>
          <w:rFonts w:eastAsia="Times New Roman"/>
        </w:rPr>
        <w:t>If automatic Windows Updates are enabled</w:t>
      </w:r>
      <w:r w:rsidR="004B2B63">
        <w:rPr>
          <w:rFonts w:eastAsia="Times New Roman"/>
        </w:rPr>
        <w:t xml:space="preserve"> (despite the recommendation of Hitachi Vantara)</w:t>
      </w:r>
      <w:r>
        <w:rPr>
          <w:rFonts w:eastAsia="Times New Roman"/>
        </w:rPr>
        <w:t>, and if Windows Update is not able to connect to the Windows Update servers, the installation of Microsoft Visual Studio 2015 C++ Redistributable may hang. If after several minutes the installation of the redistributable does not complete, please try the following:</w:t>
      </w:r>
    </w:p>
    <w:p w14:paraId="1BBB22E5" w14:textId="32BEE651" w:rsidR="005F1A68" w:rsidRDefault="005F1A68" w:rsidP="005F1A68">
      <w:pPr>
        <w:numPr>
          <w:ilvl w:val="3"/>
          <w:numId w:val="13"/>
        </w:numPr>
        <w:rPr>
          <w:rFonts w:eastAsia="Times New Roman"/>
        </w:rPr>
      </w:pPr>
      <w:r>
        <w:rPr>
          <w:rFonts w:eastAsia="Times New Roman"/>
        </w:rPr>
        <w:t>Uninstall Hi-Track Bootstrapper</w:t>
      </w:r>
      <w:r w:rsidR="00524C6F">
        <w:rPr>
          <w:rFonts w:eastAsia="Times New Roman"/>
        </w:rPr>
        <w:t xml:space="preserve"> through Control Panel -&gt; Programs and Features</w:t>
      </w:r>
    </w:p>
    <w:p w14:paraId="7536669B" w14:textId="510D865A" w:rsidR="005F1A68" w:rsidRDefault="005F1A68" w:rsidP="005F1A68">
      <w:pPr>
        <w:numPr>
          <w:ilvl w:val="3"/>
          <w:numId w:val="13"/>
        </w:numPr>
        <w:rPr>
          <w:rFonts w:eastAsia="Times New Roman"/>
        </w:rPr>
      </w:pPr>
      <w:r>
        <w:rPr>
          <w:rFonts w:eastAsia="Times New Roman"/>
        </w:rPr>
        <w:t>Uninstall Visual Studio 2015 C++ Redistributable (x86)</w:t>
      </w:r>
      <w:r w:rsidR="00DE20E1">
        <w:rPr>
          <w:rFonts w:eastAsia="Times New Roman"/>
        </w:rPr>
        <w:t xml:space="preserve"> through Control Panel -&gt; Programs and Features</w:t>
      </w:r>
    </w:p>
    <w:p w14:paraId="430B4A16" w14:textId="77777777" w:rsidR="005F1A68" w:rsidRDefault="005F1A68" w:rsidP="005F1A68">
      <w:pPr>
        <w:numPr>
          <w:ilvl w:val="3"/>
          <w:numId w:val="13"/>
        </w:numPr>
        <w:rPr>
          <w:rFonts w:eastAsia="Times New Roman"/>
        </w:rPr>
      </w:pPr>
      <w:r>
        <w:rPr>
          <w:rFonts w:eastAsia="Times New Roman"/>
        </w:rPr>
        <w:t>Disable Windows Update: Go to Control Panel -&gt; Windows Update, click “Change settings”, and choose “Never check for updates” and click OK.</w:t>
      </w:r>
    </w:p>
    <w:p w14:paraId="2325F88C" w14:textId="77777777" w:rsidR="005F1A68" w:rsidRDefault="005F1A68" w:rsidP="005F1A68">
      <w:pPr>
        <w:numPr>
          <w:ilvl w:val="3"/>
          <w:numId w:val="13"/>
        </w:numPr>
        <w:rPr>
          <w:rFonts w:eastAsia="Times New Roman"/>
        </w:rPr>
      </w:pPr>
      <w:r>
        <w:rPr>
          <w:rFonts w:eastAsia="Times New Roman"/>
        </w:rPr>
        <w:t>Restart the SVP.</w:t>
      </w:r>
    </w:p>
    <w:p w14:paraId="02BCE270" w14:textId="77777777" w:rsidR="005F1A68" w:rsidRDefault="005F1A68" w:rsidP="005F1A68">
      <w:pPr>
        <w:numPr>
          <w:ilvl w:val="3"/>
          <w:numId w:val="13"/>
        </w:numPr>
        <w:rPr>
          <w:rFonts w:eastAsia="Times New Roman"/>
        </w:rPr>
      </w:pPr>
      <w:r>
        <w:rPr>
          <w:rFonts w:eastAsia="Times New Roman"/>
        </w:rPr>
        <w:t>Try installing the SVP Agent again.</w:t>
      </w:r>
    </w:p>
    <w:p w14:paraId="21D00724" w14:textId="77777777" w:rsidR="003263C9" w:rsidRDefault="005F1A68" w:rsidP="005F1A68">
      <w:pPr>
        <w:pStyle w:val="ListParagraph"/>
        <w:numPr>
          <w:ilvl w:val="2"/>
          <w:numId w:val="13"/>
        </w:numPr>
      </w:pPr>
      <w:r w:rsidRPr="005F1A68">
        <w:t xml:space="preserve">If Microsoft Visual Studio 2017 C++ Redistributable (x86) is already installed, installation of Microsoft Visual Studio 2015 C++ Redistributable may fail. If this happens, do </w:t>
      </w:r>
      <w:r w:rsidR="003263C9">
        <w:t>the following:</w:t>
      </w:r>
    </w:p>
    <w:p w14:paraId="6EA562C0" w14:textId="77777777" w:rsidR="003263C9" w:rsidRDefault="003263C9" w:rsidP="003263C9">
      <w:pPr>
        <w:pStyle w:val="ListParagraph"/>
        <w:numPr>
          <w:ilvl w:val="3"/>
          <w:numId w:val="13"/>
        </w:numPr>
      </w:pPr>
      <w:r>
        <w:rPr>
          <w:rFonts w:eastAsia="Times New Roman"/>
        </w:rPr>
        <w:t>Go to Control Panel -&gt; Programs and Features</w:t>
      </w:r>
    </w:p>
    <w:p w14:paraId="7EA04DCB" w14:textId="0664F051" w:rsidR="000521F1" w:rsidRDefault="000521F1" w:rsidP="003263C9">
      <w:pPr>
        <w:pStyle w:val="ListParagraph"/>
        <w:numPr>
          <w:ilvl w:val="3"/>
          <w:numId w:val="13"/>
        </w:numPr>
      </w:pPr>
      <w:r>
        <w:t xml:space="preserve">Select </w:t>
      </w:r>
      <w:r w:rsidR="005F1A68" w:rsidRPr="005F1A68">
        <w:t xml:space="preserve">Visual Studio 2017 C++ Redistributable </w:t>
      </w:r>
      <w:r>
        <w:t>(x86) and click Uninstall</w:t>
      </w:r>
    </w:p>
    <w:p w14:paraId="3AC28DDD" w14:textId="77777777" w:rsidR="000521F1" w:rsidRDefault="000521F1" w:rsidP="003263C9">
      <w:pPr>
        <w:pStyle w:val="ListParagraph"/>
        <w:numPr>
          <w:ilvl w:val="3"/>
          <w:numId w:val="13"/>
        </w:numPr>
      </w:pPr>
      <w:r>
        <w:t>Choose to do a “Repair” installation and let it complete</w:t>
      </w:r>
    </w:p>
    <w:p w14:paraId="67DBAD94" w14:textId="1AD2FEF8" w:rsidR="005F1A68" w:rsidRDefault="000521F1" w:rsidP="003263C9">
      <w:pPr>
        <w:pStyle w:val="ListParagraph"/>
        <w:numPr>
          <w:ilvl w:val="3"/>
          <w:numId w:val="13"/>
        </w:numPr>
      </w:pPr>
      <w:r>
        <w:t>T</w:t>
      </w:r>
      <w:r w:rsidR="005F1A68" w:rsidRPr="005F1A68">
        <w:t>ry installing the SVP Agent again.</w:t>
      </w:r>
    </w:p>
    <w:p w14:paraId="19576A50" w14:textId="70688CB3" w:rsidR="004E0FB8" w:rsidRDefault="004E0FB8" w:rsidP="004E0FB8">
      <w:pPr>
        <w:pStyle w:val="ListParagraph"/>
        <w:numPr>
          <w:ilvl w:val="1"/>
          <w:numId w:val="13"/>
        </w:numPr>
      </w:pPr>
      <w:r>
        <w:t xml:space="preserve">The integrated </w:t>
      </w:r>
      <w:proofErr w:type="spellStart"/>
      <w:r>
        <w:t>nsoftware</w:t>
      </w:r>
      <w:proofErr w:type="spellEnd"/>
      <w:r>
        <w:t xml:space="preserve"> </w:t>
      </w:r>
      <w:proofErr w:type="spellStart"/>
      <w:r>
        <w:t>IPWorks</w:t>
      </w:r>
      <w:proofErr w:type="spellEnd"/>
      <w:r>
        <w:t xml:space="preserve">! components have been upgraded from version 9.0 </w:t>
      </w:r>
      <w:r w:rsidR="008B0258">
        <w:t xml:space="preserve">(SSL) </w:t>
      </w:r>
      <w:r>
        <w:t>to 2016</w:t>
      </w:r>
      <w:r w:rsidR="008B0258">
        <w:t xml:space="preserve"> (regular)</w:t>
      </w:r>
      <w:r>
        <w:t>.</w:t>
      </w:r>
    </w:p>
    <w:p w14:paraId="75EAAD94" w14:textId="54F575A8" w:rsidR="007673E9" w:rsidRDefault="007673E9" w:rsidP="004E0FB8">
      <w:pPr>
        <w:pStyle w:val="ListParagraph"/>
        <w:numPr>
          <w:ilvl w:val="1"/>
          <w:numId w:val="13"/>
        </w:numPr>
      </w:pPr>
      <w:r>
        <w:t>Information on whether the SVP is in modify mode is now printed to the SVP Agent logs before a remote microcode upgrade.</w:t>
      </w:r>
    </w:p>
    <w:p w14:paraId="047B10CA" w14:textId="7F7D9BF1" w:rsidR="000F0079" w:rsidRDefault="000F0079" w:rsidP="004E0FB8">
      <w:pPr>
        <w:pStyle w:val="ListParagraph"/>
        <w:numPr>
          <w:ilvl w:val="1"/>
          <w:numId w:val="13"/>
        </w:numPr>
      </w:pPr>
      <w:r>
        <w:t>An option to disable polling to Hitachi Vantara for dump requests and microcode updates was added to the Hi-Track Dump Interface accessible with a web browser.</w:t>
      </w:r>
    </w:p>
    <w:p w14:paraId="5818472F" w14:textId="77777777" w:rsidR="00E222C3" w:rsidRPr="00C54550" w:rsidRDefault="00E222C3" w:rsidP="00C54550">
      <w:pPr>
        <w:pStyle w:val="Heading2"/>
      </w:pPr>
      <w:r w:rsidRPr="00C54550">
        <w:t>ECN Revision History</w:t>
      </w:r>
    </w:p>
    <w:tbl>
      <w:tblPr>
        <w:tblStyle w:val="LightList"/>
        <w:tblW w:w="0" w:type="auto"/>
        <w:tblInd w:w="360" w:type="dxa"/>
        <w:tblBorders>
          <w:insideH w:val="single" w:sz="8" w:space="0" w:color="000000" w:themeColor="text1"/>
          <w:insideV w:val="single" w:sz="8" w:space="0" w:color="000000" w:themeColor="text1"/>
        </w:tblBorders>
        <w:tblLook w:val="04A0" w:firstRow="1" w:lastRow="0" w:firstColumn="1" w:lastColumn="0" w:noHBand="0" w:noVBand="1"/>
      </w:tblPr>
      <w:tblGrid>
        <w:gridCol w:w="828"/>
        <w:gridCol w:w="1037"/>
        <w:gridCol w:w="1639"/>
        <w:gridCol w:w="4623"/>
      </w:tblGrid>
      <w:tr w:rsidR="00C52FCD" w:rsidRPr="00C52FCD" w14:paraId="797F7CC6" w14:textId="77777777" w:rsidTr="00C52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6FAEB7" w14:textId="77777777" w:rsidR="00F37112" w:rsidRPr="00C52FCD" w:rsidRDefault="00F37112" w:rsidP="00216CD9">
            <w:pPr>
              <w:ind w:left="0"/>
              <w:jc w:val="center"/>
              <w:rPr>
                <w:b w:val="0"/>
                <w:bCs w:val="0"/>
                <w:color w:val="auto"/>
                <w:sz w:val="18"/>
                <w:szCs w:val="18"/>
              </w:rPr>
            </w:pPr>
            <w:r w:rsidRPr="00C52FCD">
              <w:rPr>
                <w:b w:val="0"/>
                <w:bCs w:val="0"/>
                <w:color w:val="auto"/>
                <w:sz w:val="18"/>
                <w:szCs w:val="18"/>
              </w:rPr>
              <w:t>Revision</w:t>
            </w:r>
          </w:p>
        </w:tc>
        <w:tc>
          <w:tcPr>
            <w:tcW w:w="0" w:type="auto"/>
          </w:tcPr>
          <w:p w14:paraId="758E77BF" w14:textId="77777777" w:rsidR="00F37112" w:rsidRPr="00C52FCD" w:rsidRDefault="00F37112" w:rsidP="00216CD9">
            <w:pPr>
              <w:ind w:left="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Date</w:t>
            </w:r>
          </w:p>
        </w:tc>
        <w:tc>
          <w:tcPr>
            <w:tcW w:w="0" w:type="auto"/>
          </w:tcPr>
          <w:p w14:paraId="7594CF59" w14:textId="77777777" w:rsidR="00F37112" w:rsidRPr="00C52FCD" w:rsidRDefault="00F37112" w:rsidP="003E608A">
            <w:pPr>
              <w:ind w:left="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Written</w:t>
            </w:r>
            <w:r w:rsidR="003E608A" w:rsidRPr="00C52FCD">
              <w:rPr>
                <w:b w:val="0"/>
                <w:bCs w:val="0"/>
                <w:color w:val="auto"/>
                <w:sz w:val="18"/>
                <w:szCs w:val="18"/>
              </w:rPr>
              <w:t>/</w:t>
            </w:r>
            <w:r w:rsidRPr="00C52FCD">
              <w:rPr>
                <w:b w:val="0"/>
                <w:bCs w:val="0"/>
                <w:color w:val="auto"/>
                <w:sz w:val="18"/>
                <w:szCs w:val="18"/>
              </w:rPr>
              <w:t>Revised By</w:t>
            </w:r>
          </w:p>
        </w:tc>
        <w:tc>
          <w:tcPr>
            <w:tcW w:w="4623" w:type="dxa"/>
          </w:tcPr>
          <w:p w14:paraId="68E37800" w14:textId="77777777" w:rsidR="00F37112" w:rsidRPr="00C52FCD" w:rsidRDefault="00F37112" w:rsidP="00E222C3">
            <w:pPr>
              <w:ind w:left="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Description</w:t>
            </w:r>
          </w:p>
        </w:tc>
      </w:tr>
      <w:tr w:rsidR="007E1A3D" w:rsidRPr="00C52FCD" w14:paraId="31666564" w14:textId="77777777" w:rsidTr="00C5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E2C3E6" w14:textId="77777777" w:rsidR="007E1A3D" w:rsidRPr="007E1A3D" w:rsidRDefault="00F25948" w:rsidP="00216CD9">
            <w:pPr>
              <w:ind w:left="0"/>
              <w:jc w:val="center"/>
              <w:rPr>
                <w:b w:val="0"/>
                <w:sz w:val="18"/>
                <w:szCs w:val="18"/>
              </w:rPr>
            </w:pPr>
            <w:r>
              <w:rPr>
                <w:b w:val="0"/>
                <w:sz w:val="18"/>
                <w:szCs w:val="18"/>
              </w:rPr>
              <w:t>0</w:t>
            </w:r>
          </w:p>
        </w:tc>
        <w:tc>
          <w:tcPr>
            <w:tcW w:w="0" w:type="auto"/>
          </w:tcPr>
          <w:p w14:paraId="58820DB8" w14:textId="26D5DEC0" w:rsidR="007E1A3D" w:rsidRPr="00C52FCD" w:rsidRDefault="00BB26A5" w:rsidP="00C54B89">
            <w:pPr>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201</w:t>
            </w:r>
            <w:r w:rsidR="007306EA">
              <w:rPr>
                <w:sz w:val="18"/>
                <w:szCs w:val="18"/>
              </w:rPr>
              <w:t>8.</w:t>
            </w:r>
            <w:r w:rsidR="00AB50C8">
              <w:rPr>
                <w:sz w:val="18"/>
                <w:szCs w:val="18"/>
              </w:rPr>
              <w:t>06.</w:t>
            </w:r>
            <w:r w:rsidR="00C01410">
              <w:rPr>
                <w:sz w:val="18"/>
                <w:szCs w:val="18"/>
              </w:rPr>
              <w:t>26</w:t>
            </w:r>
          </w:p>
        </w:tc>
        <w:tc>
          <w:tcPr>
            <w:tcW w:w="0" w:type="auto"/>
          </w:tcPr>
          <w:p w14:paraId="10552A68" w14:textId="77777777" w:rsidR="007E1A3D" w:rsidRPr="00C52FCD" w:rsidRDefault="00BA0E30" w:rsidP="00E222C3">
            <w:pPr>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Roy Chen</w:t>
            </w:r>
          </w:p>
        </w:tc>
        <w:tc>
          <w:tcPr>
            <w:tcW w:w="4623" w:type="dxa"/>
          </w:tcPr>
          <w:p w14:paraId="2E48941A" w14:textId="77777777" w:rsidR="007E1A3D" w:rsidRPr="00C52FCD" w:rsidRDefault="00E22A16" w:rsidP="00E222C3">
            <w:pPr>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Initial ECN revision.</w:t>
            </w:r>
          </w:p>
        </w:tc>
      </w:tr>
    </w:tbl>
    <w:p w14:paraId="404C6CCB" w14:textId="77777777" w:rsidR="00E222C3" w:rsidRPr="00C52FCD" w:rsidRDefault="00E222C3" w:rsidP="00EE5419">
      <w:pPr>
        <w:ind w:left="0"/>
      </w:pPr>
    </w:p>
    <w:sectPr w:rsidR="00E222C3" w:rsidRPr="00C52FCD" w:rsidSect="00143AEF">
      <w:headerReference w:type="default" r:id="rId8"/>
      <w:footerReference w:type="default" r:id="rId9"/>
      <w:pgSz w:w="12240" w:h="15840" w:code="1"/>
      <w:pgMar w:top="1440" w:right="1080" w:bottom="108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5692" w14:textId="77777777" w:rsidR="00DE5BAA" w:rsidRDefault="00DE5BAA" w:rsidP="00601811">
      <w:r>
        <w:separator/>
      </w:r>
    </w:p>
  </w:endnote>
  <w:endnote w:type="continuationSeparator" w:id="0">
    <w:p w14:paraId="06CE8DC2" w14:textId="77777777" w:rsidR="00DE5BAA" w:rsidRDefault="00DE5BAA" w:rsidP="0060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5FAC" w14:textId="77777777" w:rsidR="00A8496B" w:rsidRDefault="00A8496B" w:rsidP="00A8496B">
    <w:pPr>
      <w:ind w:left="0"/>
    </w:pPr>
  </w:p>
  <w:sdt>
    <w:sdtPr>
      <w:id w:val="-439599923"/>
      <w:docPartObj>
        <w:docPartGallery w:val="Page Numbers (Bottom of Page)"/>
        <w:docPartUnique/>
      </w:docPartObj>
    </w:sdtPr>
    <w:sdtEndPr>
      <w:rPr>
        <w:szCs w:val="21"/>
      </w:rPr>
    </w:sdtEndPr>
    <w:sdtContent>
      <w:sdt>
        <w:sdtPr>
          <w:id w:val="250395305"/>
          <w:docPartObj>
            <w:docPartGallery w:val="Page Numbers (Top of Page)"/>
            <w:docPartUnique/>
          </w:docPartObj>
        </w:sdtPr>
        <w:sdtEndPr>
          <w:rPr>
            <w:szCs w:val="21"/>
          </w:rPr>
        </w:sdtEndPr>
        <w:sdtContent>
          <w:p w14:paraId="5B82FED5" w14:textId="77777777" w:rsidR="00A8496B" w:rsidRPr="00C52FCD" w:rsidRDefault="004078AD" w:rsidP="00442EE8">
            <w:pPr>
              <w:tabs>
                <w:tab w:val="decimal" w:pos="9498"/>
              </w:tabs>
              <w:ind w:left="0"/>
              <w:rPr>
                <w:szCs w:val="21"/>
              </w:rPr>
            </w:pPr>
            <w:r w:rsidRPr="00FF4200">
              <w:rPr>
                <w:b/>
                <w:bCs/>
                <w:color w:val="FF0000"/>
                <w:szCs w:val="21"/>
              </w:rPr>
              <w:t>H</w:t>
            </w:r>
            <w:r w:rsidR="009F2460">
              <w:rPr>
                <w:b/>
                <w:bCs/>
                <w:color w:val="FF0000"/>
                <w:szCs w:val="21"/>
              </w:rPr>
              <w:t>itachi Vantara</w:t>
            </w:r>
            <w:r w:rsidRPr="00FF4200">
              <w:rPr>
                <w:b/>
                <w:bCs/>
                <w:color w:val="FF0000"/>
                <w:szCs w:val="21"/>
              </w:rPr>
              <w:t xml:space="preserve"> Confidential</w:t>
            </w:r>
            <w:r w:rsidRPr="00FF4200">
              <w:rPr>
                <w:color w:val="FF0000"/>
                <w:szCs w:val="21"/>
              </w:rPr>
              <w:t xml:space="preserve"> </w:t>
            </w:r>
            <w:r w:rsidRPr="00C32896">
              <w:rPr>
                <w:szCs w:val="21"/>
              </w:rPr>
              <w:t>For Distribution only to Authorized Parties</w:t>
            </w:r>
            <w:r w:rsidR="00A8496B" w:rsidRPr="00C32896">
              <w:rPr>
                <w:szCs w:val="21"/>
              </w:rPr>
              <w:t xml:space="preserve"> </w:t>
            </w:r>
            <w:proofErr w:type="gramStart"/>
            <w:r w:rsidR="00B03537">
              <w:rPr>
                <w:szCs w:val="21"/>
              </w:rPr>
              <w:t xml:space="preserve">   </w:t>
            </w:r>
            <w:r w:rsidR="0057626A">
              <w:rPr>
                <w:sz w:val="12"/>
                <w:szCs w:val="12"/>
              </w:rPr>
              <w:t>(</w:t>
            </w:r>
            <w:proofErr w:type="gramEnd"/>
            <w:r w:rsidR="0057626A">
              <w:rPr>
                <w:sz w:val="12"/>
                <w:szCs w:val="12"/>
              </w:rPr>
              <w:t>Rev 1</w:t>
            </w:r>
            <w:r w:rsidR="00B03537" w:rsidRPr="00B03537">
              <w:rPr>
                <w:sz w:val="12"/>
                <w:szCs w:val="12"/>
              </w:rPr>
              <w:t>.</w:t>
            </w:r>
            <w:r w:rsidR="0057626A">
              <w:rPr>
                <w:sz w:val="12"/>
                <w:szCs w:val="12"/>
              </w:rPr>
              <w:t>0</w:t>
            </w:r>
            <w:r w:rsidR="00B03537" w:rsidRPr="00B03537">
              <w:rPr>
                <w:sz w:val="12"/>
                <w:szCs w:val="12"/>
              </w:rPr>
              <w:t>.</w:t>
            </w:r>
            <w:r w:rsidR="0057626A">
              <w:rPr>
                <w:sz w:val="12"/>
                <w:szCs w:val="12"/>
              </w:rPr>
              <w:t>0</w:t>
            </w:r>
            <w:r w:rsidR="00B03537" w:rsidRPr="00B03537">
              <w:rPr>
                <w:sz w:val="12"/>
                <w:szCs w:val="12"/>
              </w:rPr>
              <w:t>)</w:t>
            </w:r>
            <w:r w:rsidR="00A8496B" w:rsidRPr="00C32896">
              <w:rPr>
                <w:rFonts w:hint="eastAsia"/>
                <w:szCs w:val="21"/>
              </w:rPr>
              <w:tab/>
            </w:r>
            <w:r w:rsidR="00A8496B" w:rsidRPr="00C52FCD">
              <w:rPr>
                <w:rFonts w:hint="eastAsia"/>
                <w:szCs w:val="21"/>
              </w:rPr>
              <w:t xml:space="preserve">Page </w:t>
            </w:r>
            <w:r w:rsidR="00A8496B" w:rsidRPr="00C52FCD">
              <w:rPr>
                <w:szCs w:val="21"/>
              </w:rPr>
              <w:t xml:space="preserve"> </w:t>
            </w:r>
            <w:r w:rsidR="00AE4967" w:rsidRPr="00C52FCD">
              <w:rPr>
                <w:szCs w:val="21"/>
              </w:rPr>
              <w:fldChar w:fldCharType="begin"/>
            </w:r>
            <w:r w:rsidR="00AE4967" w:rsidRPr="00C52FCD">
              <w:rPr>
                <w:szCs w:val="21"/>
              </w:rPr>
              <w:instrText xml:space="preserve"> PAGE </w:instrText>
            </w:r>
            <w:r w:rsidR="00AE4967" w:rsidRPr="00C52FCD">
              <w:rPr>
                <w:szCs w:val="21"/>
              </w:rPr>
              <w:fldChar w:fldCharType="separate"/>
            </w:r>
            <w:r w:rsidR="009F2460">
              <w:rPr>
                <w:noProof/>
                <w:szCs w:val="21"/>
              </w:rPr>
              <w:t>1</w:t>
            </w:r>
            <w:r w:rsidR="00AE4967" w:rsidRPr="00C52FCD">
              <w:rPr>
                <w:noProof/>
                <w:szCs w:val="21"/>
              </w:rPr>
              <w:fldChar w:fldCharType="end"/>
            </w:r>
            <w:r w:rsidR="00A8496B" w:rsidRPr="00C52FCD">
              <w:rPr>
                <w:szCs w:val="21"/>
              </w:rPr>
              <w:t xml:space="preserve"> / </w:t>
            </w:r>
            <w:r w:rsidR="001E7001" w:rsidRPr="00C52FCD">
              <w:rPr>
                <w:szCs w:val="21"/>
              </w:rPr>
              <w:fldChar w:fldCharType="begin"/>
            </w:r>
            <w:r w:rsidR="001E7001" w:rsidRPr="00C52FCD">
              <w:rPr>
                <w:szCs w:val="21"/>
              </w:rPr>
              <w:instrText xml:space="preserve"> NUMPAGES  </w:instrText>
            </w:r>
            <w:r w:rsidR="001E7001" w:rsidRPr="00C52FCD">
              <w:rPr>
                <w:szCs w:val="21"/>
              </w:rPr>
              <w:fldChar w:fldCharType="separate"/>
            </w:r>
            <w:r w:rsidR="009F2460">
              <w:rPr>
                <w:noProof/>
                <w:szCs w:val="21"/>
              </w:rPr>
              <w:t>3</w:t>
            </w:r>
            <w:r w:rsidR="001E7001" w:rsidRPr="00C52FCD">
              <w:rPr>
                <w:noProof/>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E2ED8" w14:textId="77777777" w:rsidR="00DE5BAA" w:rsidRDefault="00DE5BAA" w:rsidP="00601811">
      <w:r>
        <w:separator/>
      </w:r>
    </w:p>
  </w:footnote>
  <w:footnote w:type="continuationSeparator" w:id="0">
    <w:p w14:paraId="0F41F701" w14:textId="77777777" w:rsidR="00DE5BAA" w:rsidRDefault="00DE5BAA" w:rsidP="0060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5652"/>
      <w:gridCol w:w="3450"/>
    </w:tblGrid>
    <w:tr w:rsidR="00B341C8" w14:paraId="35C903A3" w14:textId="77777777" w:rsidTr="00EF5048">
      <w:trPr>
        <w:trHeight w:val="401"/>
      </w:trPr>
      <w:tc>
        <w:tcPr>
          <w:tcW w:w="1176" w:type="dxa"/>
          <w:vMerge w:val="restart"/>
          <w:vAlign w:val="center"/>
        </w:tcPr>
        <w:p w14:paraId="1F174A26" w14:textId="77777777" w:rsidR="00B341C8" w:rsidRDefault="00B341C8" w:rsidP="003672F7">
          <w:pPr>
            <w:ind w:left="0"/>
          </w:pPr>
          <w:r>
            <w:rPr>
              <w:noProof/>
              <w:lang w:eastAsia="en-US"/>
            </w:rPr>
            <w:drawing>
              <wp:inline distT="0" distB="0" distL="0" distR="0" wp14:anchorId="7D46BAA9" wp14:editId="1D73DC16">
                <wp:extent cx="601249" cy="5945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85" cy="591386"/>
                        </a:xfrm>
                        <a:prstGeom prst="rect">
                          <a:avLst/>
                        </a:prstGeom>
                        <a:noFill/>
                      </pic:spPr>
                    </pic:pic>
                  </a:graphicData>
                </a:graphic>
              </wp:inline>
            </w:drawing>
          </w:r>
        </w:p>
      </w:tc>
      <w:tc>
        <w:tcPr>
          <w:tcW w:w="5652" w:type="dxa"/>
          <w:vAlign w:val="bottom"/>
        </w:tcPr>
        <w:p w14:paraId="5B8468B2" w14:textId="77777777" w:rsidR="00B341C8" w:rsidRPr="00B341C8" w:rsidRDefault="00B341C8" w:rsidP="00EF5048">
          <w:pPr>
            <w:ind w:left="0"/>
            <w:rPr>
              <w:b/>
              <w:bCs/>
              <w:sz w:val="28"/>
              <w:szCs w:val="28"/>
            </w:rPr>
          </w:pPr>
          <w:r w:rsidRPr="00B0174D">
            <w:rPr>
              <w:b/>
              <w:bCs/>
              <w:sz w:val="28"/>
              <w:szCs w:val="28"/>
            </w:rPr>
            <w:t>Engineering Change Notice</w:t>
          </w:r>
        </w:p>
      </w:tc>
      <w:tc>
        <w:tcPr>
          <w:tcW w:w="3450" w:type="dxa"/>
          <w:vMerge w:val="restar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2370"/>
          </w:tblGrid>
          <w:tr w:rsidR="00B341C8" w14:paraId="56BE9A71" w14:textId="77777777" w:rsidTr="00B341C8">
            <w:tc>
              <w:tcPr>
                <w:tcW w:w="792" w:type="dxa"/>
              </w:tcPr>
              <w:p w14:paraId="01B16D27" w14:textId="77777777" w:rsidR="00B341C8" w:rsidRPr="002515C0" w:rsidRDefault="00B341C8" w:rsidP="003672F7">
                <w:pPr>
                  <w:pStyle w:val="Header"/>
                  <w:tabs>
                    <w:tab w:val="clear" w:pos="9360"/>
                    <w:tab w:val="right" w:pos="9720"/>
                  </w:tabs>
                  <w:ind w:left="0"/>
                  <w:rPr>
                    <w:b/>
                    <w:bCs/>
                  </w:rPr>
                </w:pPr>
                <w:r w:rsidRPr="002515C0">
                  <w:rPr>
                    <w:b/>
                    <w:bCs/>
                  </w:rPr>
                  <w:t>ECN #</w:t>
                </w:r>
              </w:p>
            </w:tc>
            <w:tc>
              <w:tcPr>
                <w:tcW w:w="2370" w:type="dxa"/>
              </w:tcPr>
              <w:p w14:paraId="0EB527A5" w14:textId="076948AF" w:rsidR="00B341C8" w:rsidRPr="002515C0" w:rsidRDefault="00B341C8" w:rsidP="009F2460">
                <w:pPr>
                  <w:pStyle w:val="Header"/>
                  <w:tabs>
                    <w:tab w:val="clear" w:pos="9360"/>
                    <w:tab w:val="right" w:pos="9720"/>
                  </w:tabs>
                  <w:ind w:left="0"/>
                  <w:rPr>
                    <w:bCs/>
                  </w:rPr>
                </w:pPr>
                <w:r w:rsidRPr="002515C0">
                  <w:rPr>
                    <w:bCs/>
                  </w:rPr>
                  <w:t>ECN-</w:t>
                </w:r>
                <w:r w:rsidR="00CC56E2">
                  <w:rPr>
                    <w:bCs/>
                  </w:rPr>
                  <w:t>92HT1</w:t>
                </w:r>
                <w:r w:rsidR="00B74C70">
                  <w:rPr>
                    <w:bCs/>
                  </w:rPr>
                  <w:t>5</w:t>
                </w:r>
                <w:r w:rsidR="00D66602">
                  <w:rPr>
                    <w:bCs/>
                  </w:rPr>
                  <w:t>8</w:t>
                </w:r>
              </w:p>
            </w:tc>
          </w:tr>
          <w:tr w:rsidR="00B341C8" w14:paraId="2AA83F9A" w14:textId="77777777" w:rsidTr="00B341C8">
            <w:tc>
              <w:tcPr>
                <w:tcW w:w="792" w:type="dxa"/>
              </w:tcPr>
              <w:p w14:paraId="6937C60D" w14:textId="77777777" w:rsidR="00B341C8" w:rsidRPr="002515C0" w:rsidRDefault="00B341C8" w:rsidP="003672F7">
                <w:pPr>
                  <w:pStyle w:val="Header"/>
                  <w:tabs>
                    <w:tab w:val="clear" w:pos="9360"/>
                    <w:tab w:val="right" w:pos="9720"/>
                  </w:tabs>
                  <w:ind w:left="0"/>
                  <w:rPr>
                    <w:b/>
                    <w:bCs/>
                  </w:rPr>
                </w:pPr>
                <w:r w:rsidRPr="002515C0">
                  <w:rPr>
                    <w:b/>
                    <w:bCs/>
                  </w:rPr>
                  <w:t>Rev #</w:t>
                </w:r>
              </w:p>
            </w:tc>
            <w:tc>
              <w:tcPr>
                <w:tcW w:w="2370" w:type="dxa"/>
              </w:tcPr>
              <w:p w14:paraId="1BB5DB3C" w14:textId="77777777" w:rsidR="00B341C8" w:rsidRPr="002515C0" w:rsidRDefault="005C56FD" w:rsidP="003672F7">
                <w:pPr>
                  <w:pStyle w:val="Header"/>
                  <w:tabs>
                    <w:tab w:val="clear" w:pos="9360"/>
                    <w:tab w:val="right" w:pos="9720"/>
                  </w:tabs>
                  <w:ind w:left="0"/>
                  <w:rPr>
                    <w:bCs/>
                  </w:rPr>
                </w:pPr>
                <w:r>
                  <w:rPr>
                    <w:bCs/>
                  </w:rPr>
                  <w:t>00</w:t>
                </w:r>
              </w:p>
            </w:tc>
          </w:tr>
          <w:tr w:rsidR="00B341C8" w14:paraId="41B05B25" w14:textId="77777777" w:rsidTr="00B341C8">
            <w:tc>
              <w:tcPr>
                <w:tcW w:w="792" w:type="dxa"/>
              </w:tcPr>
              <w:p w14:paraId="139CB045" w14:textId="77777777" w:rsidR="00B341C8" w:rsidRPr="002515C0" w:rsidRDefault="00B341C8" w:rsidP="003672F7">
                <w:pPr>
                  <w:pStyle w:val="Header"/>
                  <w:tabs>
                    <w:tab w:val="clear" w:pos="9360"/>
                    <w:tab w:val="right" w:pos="9720"/>
                  </w:tabs>
                  <w:ind w:left="0"/>
                  <w:rPr>
                    <w:b/>
                    <w:bCs/>
                  </w:rPr>
                </w:pPr>
                <w:r w:rsidRPr="002515C0">
                  <w:rPr>
                    <w:b/>
                    <w:bCs/>
                  </w:rPr>
                  <w:t>FCB #</w:t>
                </w:r>
              </w:p>
            </w:tc>
            <w:tc>
              <w:tcPr>
                <w:tcW w:w="2370" w:type="dxa"/>
              </w:tcPr>
              <w:p w14:paraId="7D22F8D1" w14:textId="77777777" w:rsidR="00B341C8" w:rsidRPr="002515C0" w:rsidRDefault="00B341C8" w:rsidP="003672F7">
                <w:pPr>
                  <w:pStyle w:val="Header"/>
                  <w:tabs>
                    <w:tab w:val="clear" w:pos="9360"/>
                    <w:tab w:val="right" w:pos="9720"/>
                  </w:tabs>
                  <w:ind w:left="0"/>
                  <w:rPr>
                    <w:bCs/>
                  </w:rPr>
                </w:pPr>
                <w:r w:rsidRPr="002515C0">
                  <w:rPr>
                    <w:bCs/>
                  </w:rPr>
                  <w:t>n/a</w:t>
                </w:r>
              </w:p>
            </w:tc>
          </w:tr>
          <w:tr w:rsidR="00B341C8" w14:paraId="5163D795" w14:textId="77777777" w:rsidTr="00B341C8">
            <w:tc>
              <w:tcPr>
                <w:tcW w:w="792" w:type="dxa"/>
              </w:tcPr>
              <w:p w14:paraId="25A55F9A" w14:textId="77777777" w:rsidR="00B341C8" w:rsidRPr="002515C0" w:rsidRDefault="00B341C8" w:rsidP="003672F7">
                <w:pPr>
                  <w:pStyle w:val="Header"/>
                  <w:tabs>
                    <w:tab w:val="clear" w:pos="9360"/>
                    <w:tab w:val="right" w:pos="9720"/>
                  </w:tabs>
                  <w:ind w:left="0"/>
                  <w:rPr>
                    <w:b/>
                    <w:bCs/>
                  </w:rPr>
                </w:pPr>
                <w:r w:rsidRPr="002515C0">
                  <w:rPr>
                    <w:b/>
                    <w:bCs/>
                  </w:rPr>
                  <w:t>Date</w:t>
                </w:r>
              </w:p>
            </w:tc>
            <w:tc>
              <w:tcPr>
                <w:tcW w:w="2370" w:type="dxa"/>
              </w:tcPr>
              <w:p w14:paraId="54516385" w14:textId="06A6F2B4" w:rsidR="00B341C8" w:rsidRPr="002515C0" w:rsidRDefault="005C56FD" w:rsidP="00D66F54">
                <w:pPr>
                  <w:pStyle w:val="Header"/>
                  <w:tabs>
                    <w:tab w:val="clear" w:pos="9360"/>
                    <w:tab w:val="right" w:pos="9720"/>
                  </w:tabs>
                  <w:ind w:left="0"/>
                  <w:rPr>
                    <w:bCs/>
                  </w:rPr>
                </w:pPr>
                <w:r>
                  <w:rPr>
                    <w:bCs/>
                  </w:rPr>
                  <w:t>201</w:t>
                </w:r>
                <w:r w:rsidR="00EA3898">
                  <w:rPr>
                    <w:bCs/>
                  </w:rPr>
                  <w:t>8.0</w:t>
                </w:r>
                <w:r w:rsidR="00F918ED">
                  <w:rPr>
                    <w:bCs/>
                  </w:rPr>
                  <w:t>6</w:t>
                </w:r>
                <w:r w:rsidR="001445A2">
                  <w:rPr>
                    <w:bCs/>
                  </w:rPr>
                  <w:t>.</w:t>
                </w:r>
                <w:r w:rsidR="00C01410">
                  <w:rPr>
                    <w:bCs/>
                  </w:rPr>
                  <w:t>26</w:t>
                </w:r>
              </w:p>
            </w:tc>
          </w:tr>
        </w:tbl>
        <w:p w14:paraId="7E52490A" w14:textId="77777777" w:rsidR="00B341C8" w:rsidRPr="00E84E69" w:rsidRDefault="00B341C8" w:rsidP="003672F7">
          <w:pPr>
            <w:ind w:left="0"/>
            <w:rPr>
              <w:b/>
              <w:bCs/>
              <w:color w:val="31849B" w:themeColor="accent5" w:themeShade="BF"/>
              <w:sz w:val="32"/>
              <w:szCs w:val="32"/>
            </w:rPr>
          </w:pPr>
        </w:p>
      </w:tc>
    </w:tr>
    <w:tr w:rsidR="00B341C8" w14:paraId="1967F574" w14:textId="77777777" w:rsidTr="00EF5048">
      <w:trPr>
        <w:trHeight w:val="401"/>
      </w:trPr>
      <w:tc>
        <w:tcPr>
          <w:tcW w:w="1176" w:type="dxa"/>
          <w:vMerge/>
          <w:vAlign w:val="center"/>
        </w:tcPr>
        <w:p w14:paraId="7B9D598E" w14:textId="77777777" w:rsidR="00B341C8" w:rsidRDefault="00B341C8" w:rsidP="003672F7">
          <w:pPr>
            <w:ind w:left="0"/>
            <w:rPr>
              <w:noProof/>
              <w:lang w:eastAsia="zh-TW" w:bidi="he-IL"/>
            </w:rPr>
          </w:pPr>
        </w:p>
      </w:tc>
      <w:tc>
        <w:tcPr>
          <w:tcW w:w="5652" w:type="dxa"/>
        </w:tcPr>
        <w:p w14:paraId="5E819884" w14:textId="77777777" w:rsidR="00B341C8" w:rsidRPr="00B341C8" w:rsidRDefault="00C277F6" w:rsidP="00EF5048">
          <w:pPr>
            <w:ind w:left="0"/>
            <w:rPr>
              <w:b/>
              <w:bCs/>
              <w:color w:val="7F7F7F" w:themeColor="text1" w:themeTint="80"/>
              <w:sz w:val="36"/>
              <w:szCs w:val="36"/>
            </w:rPr>
          </w:pPr>
          <w:r>
            <w:rPr>
              <w:b/>
              <w:bCs/>
              <w:color w:val="7F7F7F" w:themeColor="text1" w:themeTint="80"/>
              <w:sz w:val="36"/>
              <w:szCs w:val="36"/>
            </w:rPr>
            <w:t>Hi-Track SVP Agent</w:t>
          </w:r>
        </w:p>
      </w:tc>
      <w:tc>
        <w:tcPr>
          <w:tcW w:w="3450" w:type="dxa"/>
          <w:vMerge/>
          <w:vAlign w:val="center"/>
        </w:tcPr>
        <w:p w14:paraId="2CC4EA94" w14:textId="77777777" w:rsidR="00B341C8" w:rsidRPr="002515C0" w:rsidRDefault="00B341C8" w:rsidP="003672F7">
          <w:pPr>
            <w:pStyle w:val="Header"/>
            <w:tabs>
              <w:tab w:val="clear" w:pos="9360"/>
              <w:tab w:val="right" w:pos="9720"/>
            </w:tabs>
            <w:ind w:left="0"/>
            <w:rPr>
              <w:b/>
              <w:bCs/>
            </w:rPr>
          </w:pPr>
        </w:p>
      </w:tc>
    </w:tr>
  </w:tbl>
  <w:p w14:paraId="444013C5" w14:textId="77777777" w:rsidR="00A8496B" w:rsidRPr="00481149" w:rsidRDefault="00A8496B" w:rsidP="008E5B92">
    <w:pPr>
      <w:pStyle w:val="Header"/>
      <w:tabs>
        <w:tab w:val="clear" w:pos="9360"/>
        <w:tab w:val="right" w:pos="9720"/>
      </w:tabs>
      <w:ind w:left="0"/>
      <w:rPr>
        <w:b/>
        <w:bCs/>
        <w:color w:val="31849B" w:themeColor="accent5" w:themeShade="BF"/>
        <w:sz w:val="8"/>
        <w:szCs w:val="8"/>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C21D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A6A5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F086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0AAA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261A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F850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CC8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A8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CA1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4B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3363B"/>
    <w:multiLevelType w:val="hybridMultilevel"/>
    <w:tmpl w:val="9A0E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61ACF"/>
    <w:multiLevelType w:val="hybridMultilevel"/>
    <w:tmpl w:val="B55A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EB56E9"/>
    <w:multiLevelType w:val="hybridMultilevel"/>
    <w:tmpl w:val="D5E08F6E"/>
    <w:lvl w:ilvl="0" w:tplc="3648B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533353"/>
    <w:multiLevelType w:val="multilevel"/>
    <w:tmpl w:val="6DBA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364C2"/>
    <w:multiLevelType w:val="multilevel"/>
    <w:tmpl w:val="5A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21F3F"/>
    <w:multiLevelType w:val="hybridMultilevel"/>
    <w:tmpl w:val="EC0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90226"/>
    <w:multiLevelType w:val="hybridMultilevel"/>
    <w:tmpl w:val="505A0E7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6"/>
  </w:num>
  <w:num w:numId="14">
    <w:abstractNumId w:val="10"/>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ocumentProtection w:formatting="1" w:enforcement="0"/>
  <w:styleLockTheme/>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811"/>
    <w:rsid w:val="00003655"/>
    <w:rsid w:val="000047CE"/>
    <w:rsid w:val="000149E0"/>
    <w:rsid w:val="00021F38"/>
    <w:rsid w:val="00024B37"/>
    <w:rsid w:val="00024D09"/>
    <w:rsid w:val="0003564B"/>
    <w:rsid w:val="00035A5B"/>
    <w:rsid w:val="00041D4F"/>
    <w:rsid w:val="000458FB"/>
    <w:rsid w:val="00045C13"/>
    <w:rsid w:val="000521F1"/>
    <w:rsid w:val="0005449E"/>
    <w:rsid w:val="00063D54"/>
    <w:rsid w:val="000657E4"/>
    <w:rsid w:val="000723FC"/>
    <w:rsid w:val="0007772B"/>
    <w:rsid w:val="0007782C"/>
    <w:rsid w:val="00090A24"/>
    <w:rsid w:val="000A2E23"/>
    <w:rsid w:val="000A3F7C"/>
    <w:rsid w:val="000A591C"/>
    <w:rsid w:val="000B3F55"/>
    <w:rsid w:val="000B5E74"/>
    <w:rsid w:val="000C545D"/>
    <w:rsid w:val="000C58FA"/>
    <w:rsid w:val="000D71EE"/>
    <w:rsid w:val="000D7693"/>
    <w:rsid w:val="000E1E86"/>
    <w:rsid w:val="000E33E8"/>
    <w:rsid w:val="000E4E71"/>
    <w:rsid w:val="000F0079"/>
    <w:rsid w:val="000F02A0"/>
    <w:rsid w:val="000F3DD4"/>
    <w:rsid w:val="000F6D21"/>
    <w:rsid w:val="0010264D"/>
    <w:rsid w:val="001037DE"/>
    <w:rsid w:val="00105D91"/>
    <w:rsid w:val="0011799B"/>
    <w:rsid w:val="00127260"/>
    <w:rsid w:val="001308B6"/>
    <w:rsid w:val="0013154D"/>
    <w:rsid w:val="00137620"/>
    <w:rsid w:val="001418C2"/>
    <w:rsid w:val="00143AEF"/>
    <w:rsid w:val="001445A2"/>
    <w:rsid w:val="00150F1F"/>
    <w:rsid w:val="0016363C"/>
    <w:rsid w:val="001658C9"/>
    <w:rsid w:val="00166F64"/>
    <w:rsid w:val="001707A3"/>
    <w:rsid w:val="00171A8B"/>
    <w:rsid w:val="00172CA4"/>
    <w:rsid w:val="0017616A"/>
    <w:rsid w:val="00177445"/>
    <w:rsid w:val="00185416"/>
    <w:rsid w:val="00185E46"/>
    <w:rsid w:val="00187556"/>
    <w:rsid w:val="001946ED"/>
    <w:rsid w:val="00194C74"/>
    <w:rsid w:val="001958EC"/>
    <w:rsid w:val="001A15A9"/>
    <w:rsid w:val="001A2ED5"/>
    <w:rsid w:val="001A5A42"/>
    <w:rsid w:val="001B04FC"/>
    <w:rsid w:val="001B13CE"/>
    <w:rsid w:val="001B2FD0"/>
    <w:rsid w:val="001B3416"/>
    <w:rsid w:val="001C5881"/>
    <w:rsid w:val="001C5FCE"/>
    <w:rsid w:val="001C67EF"/>
    <w:rsid w:val="001D3B77"/>
    <w:rsid w:val="001D7FCE"/>
    <w:rsid w:val="001E036F"/>
    <w:rsid w:val="001E3EB4"/>
    <w:rsid w:val="001E5F1E"/>
    <w:rsid w:val="001E6A60"/>
    <w:rsid w:val="001E7001"/>
    <w:rsid w:val="001F4091"/>
    <w:rsid w:val="00200791"/>
    <w:rsid w:val="00203CD6"/>
    <w:rsid w:val="00214E53"/>
    <w:rsid w:val="00216CD9"/>
    <w:rsid w:val="002179C1"/>
    <w:rsid w:val="00225178"/>
    <w:rsid w:val="0023228B"/>
    <w:rsid w:val="00234FCA"/>
    <w:rsid w:val="00235D84"/>
    <w:rsid w:val="0024037F"/>
    <w:rsid w:val="00244623"/>
    <w:rsid w:val="00245386"/>
    <w:rsid w:val="00250C5D"/>
    <w:rsid w:val="00251198"/>
    <w:rsid w:val="002515C0"/>
    <w:rsid w:val="0025535D"/>
    <w:rsid w:val="00256313"/>
    <w:rsid w:val="00257ED9"/>
    <w:rsid w:val="00264DF8"/>
    <w:rsid w:val="00266236"/>
    <w:rsid w:val="00283752"/>
    <w:rsid w:val="00285A2D"/>
    <w:rsid w:val="002925E2"/>
    <w:rsid w:val="00294E35"/>
    <w:rsid w:val="00296844"/>
    <w:rsid w:val="002A403B"/>
    <w:rsid w:val="002A674E"/>
    <w:rsid w:val="002B0484"/>
    <w:rsid w:val="002B14A7"/>
    <w:rsid w:val="002C2A8F"/>
    <w:rsid w:val="002D07C4"/>
    <w:rsid w:val="002D22EF"/>
    <w:rsid w:val="002D4DB5"/>
    <w:rsid w:val="002E0E42"/>
    <w:rsid w:val="002E1B91"/>
    <w:rsid w:val="002F0301"/>
    <w:rsid w:val="002F0E79"/>
    <w:rsid w:val="002F18B7"/>
    <w:rsid w:val="002F604F"/>
    <w:rsid w:val="00300F2D"/>
    <w:rsid w:val="003015C3"/>
    <w:rsid w:val="00312768"/>
    <w:rsid w:val="003248B3"/>
    <w:rsid w:val="003263C9"/>
    <w:rsid w:val="00334B65"/>
    <w:rsid w:val="00346163"/>
    <w:rsid w:val="00346CE1"/>
    <w:rsid w:val="00351CAA"/>
    <w:rsid w:val="00352F0A"/>
    <w:rsid w:val="003559C9"/>
    <w:rsid w:val="003629DD"/>
    <w:rsid w:val="003633B7"/>
    <w:rsid w:val="003672F7"/>
    <w:rsid w:val="00371B20"/>
    <w:rsid w:val="003770FC"/>
    <w:rsid w:val="003807AF"/>
    <w:rsid w:val="00384AEF"/>
    <w:rsid w:val="00391A46"/>
    <w:rsid w:val="0039777A"/>
    <w:rsid w:val="003A0A96"/>
    <w:rsid w:val="003A4617"/>
    <w:rsid w:val="003B35BD"/>
    <w:rsid w:val="003B7961"/>
    <w:rsid w:val="003C1667"/>
    <w:rsid w:val="003C21F4"/>
    <w:rsid w:val="003C786B"/>
    <w:rsid w:val="003D453A"/>
    <w:rsid w:val="003E608A"/>
    <w:rsid w:val="004001D0"/>
    <w:rsid w:val="004039C0"/>
    <w:rsid w:val="004078AD"/>
    <w:rsid w:val="004078BF"/>
    <w:rsid w:val="004154A2"/>
    <w:rsid w:val="0041727D"/>
    <w:rsid w:val="0041775C"/>
    <w:rsid w:val="004219D9"/>
    <w:rsid w:val="004222FD"/>
    <w:rsid w:val="00425AB2"/>
    <w:rsid w:val="0043259B"/>
    <w:rsid w:val="00441852"/>
    <w:rsid w:val="00442EE8"/>
    <w:rsid w:val="004437E0"/>
    <w:rsid w:val="00464FAE"/>
    <w:rsid w:val="00475A96"/>
    <w:rsid w:val="004810AB"/>
    <w:rsid w:val="00481149"/>
    <w:rsid w:val="0048129F"/>
    <w:rsid w:val="00481C91"/>
    <w:rsid w:val="00481F02"/>
    <w:rsid w:val="004846E6"/>
    <w:rsid w:val="00485341"/>
    <w:rsid w:val="00485D79"/>
    <w:rsid w:val="0048706F"/>
    <w:rsid w:val="004A450F"/>
    <w:rsid w:val="004A6BE6"/>
    <w:rsid w:val="004A7DB5"/>
    <w:rsid w:val="004B1767"/>
    <w:rsid w:val="004B2B63"/>
    <w:rsid w:val="004B63AE"/>
    <w:rsid w:val="004B6551"/>
    <w:rsid w:val="004D2464"/>
    <w:rsid w:val="004D791D"/>
    <w:rsid w:val="004E0FB8"/>
    <w:rsid w:val="004F2F9C"/>
    <w:rsid w:val="004F4BA7"/>
    <w:rsid w:val="004F7ED1"/>
    <w:rsid w:val="005004DB"/>
    <w:rsid w:val="005021F2"/>
    <w:rsid w:val="00502AAE"/>
    <w:rsid w:val="005046F8"/>
    <w:rsid w:val="0050772B"/>
    <w:rsid w:val="00515955"/>
    <w:rsid w:val="005169A0"/>
    <w:rsid w:val="005169E4"/>
    <w:rsid w:val="00517339"/>
    <w:rsid w:val="00517B24"/>
    <w:rsid w:val="00520DF7"/>
    <w:rsid w:val="00524C6F"/>
    <w:rsid w:val="00537A33"/>
    <w:rsid w:val="005422E7"/>
    <w:rsid w:val="00544007"/>
    <w:rsid w:val="0055618E"/>
    <w:rsid w:val="0055703C"/>
    <w:rsid w:val="00560710"/>
    <w:rsid w:val="005636C1"/>
    <w:rsid w:val="00575BF6"/>
    <w:rsid w:val="0057626A"/>
    <w:rsid w:val="0058711E"/>
    <w:rsid w:val="00590D69"/>
    <w:rsid w:val="005939CB"/>
    <w:rsid w:val="005A0BF9"/>
    <w:rsid w:val="005B144D"/>
    <w:rsid w:val="005B1BC8"/>
    <w:rsid w:val="005B47B6"/>
    <w:rsid w:val="005B7A8C"/>
    <w:rsid w:val="005C56FD"/>
    <w:rsid w:val="005C5DEA"/>
    <w:rsid w:val="005C6958"/>
    <w:rsid w:val="005D18D5"/>
    <w:rsid w:val="005D1B89"/>
    <w:rsid w:val="005D7920"/>
    <w:rsid w:val="005E4057"/>
    <w:rsid w:val="005E7499"/>
    <w:rsid w:val="005F1A68"/>
    <w:rsid w:val="00601811"/>
    <w:rsid w:val="00601AA0"/>
    <w:rsid w:val="00603277"/>
    <w:rsid w:val="00603E47"/>
    <w:rsid w:val="00605DC0"/>
    <w:rsid w:val="006072DF"/>
    <w:rsid w:val="006115D3"/>
    <w:rsid w:val="00613236"/>
    <w:rsid w:val="00614DF3"/>
    <w:rsid w:val="00615DBD"/>
    <w:rsid w:val="006173B9"/>
    <w:rsid w:val="006246E6"/>
    <w:rsid w:val="00624D4D"/>
    <w:rsid w:val="0062786A"/>
    <w:rsid w:val="00633703"/>
    <w:rsid w:val="00634F72"/>
    <w:rsid w:val="00645A91"/>
    <w:rsid w:val="00653EC7"/>
    <w:rsid w:val="006557B6"/>
    <w:rsid w:val="006574A1"/>
    <w:rsid w:val="00660E0D"/>
    <w:rsid w:val="00662B9F"/>
    <w:rsid w:val="006661D7"/>
    <w:rsid w:val="00670EC4"/>
    <w:rsid w:val="0067791C"/>
    <w:rsid w:val="00682747"/>
    <w:rsid w:val="00684042"/>
    <w:rsid w:val="0068731F"/>
    <w:rsid w:val="006873EE"/>
    <w:rsid w:val="006964D3"/>
    <w:rsid w:val="006A046C"/>
    <w:rsid w:val="006A3D3A"/>
    <w:rsid w:val="006A5EFF"/>
    <w:rsid w:val="006B20B3"/>
    <w:rsid w:val="006C290A"/>
    <w:rsid w:val="006D1247"/>
    <w:rsid w:val="006D46BE"/>
    <w:rsid w:val="006E29E1"/>
    <w:rsid w:val="006E7D6D"/>
    <w:rsid w:val="006E7FCE"/>
    <w:rsid w:val="006F6DE3"/>
    <w:rsid w:val="00714AF0"/>
    <w:rsid w:val="00721F1C"/>
    <w:rsid w:val="007228DE"/>
    <w:rsid w:val="0072332B"/>
    <w:rsid w:val="007247B2"/>
    <w:rsid w:val="007306EA"/>
    <w:rsid w:val="00732094"/>
    <w:rsid w:val="0073628E"/>
    <w:rsid w:val="00736A94"/>
    <w:rsid w:val="00741023"/>
    <w:rsid w:val="007426AD"/>
    <w:rsid w:val="007432B6"/>
    <w:rsid w:val="00743DFA"/>
    <w:rsid w:val="00744731"/>
    <w:rsid w:val="00755CFB"/>
    <w:rsid w:val="00756D9B"/>
    <w:rsid w:val="0076293F"/>
    <w:rsid w:val="00766EE9"/>
    <w:rsid w:val="007673E9"/>
    <w:rsid w:val="00767513"/>
    <w:rsid w:val="007713BF"/>
    <w:rsid w:val="0077288F"/>
    <w:rsid w:val="00773935"/>
    <w:rsid w:val="00775AEA"/>
    <w:rsid w:val="00775F2D"/>
    <w:rsid w:val="00776152"/>
    <w:rsid w:val="00777447"/>
    <w:rsid w:val="00786C2E"/>
    <w:rsid w:val="007873DD"/>
    <w:rsid w:val="00791422"/>
    <w:rsid w:val="007919FD"/>
    <w:rsid w:val="007941E2"/>
    <w:rsid w:val="007A4F05"/>
    <w:rsid w:val="007B74D1"/>
    <w:rsid w:val="007C5716"/>
    <w:rsid w:val="007D25A6"/>
    <w:rsid w:val="007D2DD0"/>
    <w:rsid w:val="007D2F42"/>
    <w:rsid w:val="007E1A3D"/>
    <w:rsid w:val="007E5193"/>
    <w:rsid w:val="007E5AD0"/>
    <w:rsid w:val="007E67B6"/>
    <w:rsid w:val="007F1148"/>
    <w:rsid w:val="007F1178"/>
    <w:rsid w:val="007F5E2E"/>
    <w:rsid w:val="007F7A76"/>
    <w:rsid w:val="007F7BC6"/>
    <w:rsid w:val="00800F1A"/>
    <w:rsid w:val="00812832"/>
    <w:rsid w:val="00824977"/>
    <w:rsid w:val="00834F30"/>
    <w:rsid w:val="00835FAC"/>
    <w:rsid w:val="00835FFF"/>
    <w:rsid w:val="00836C01"/>
    <w:rsid w:val="0083794F"/>
    <w:rsid w:val="008379F2"/>
    <w:rsid w:val="00841501"/>
    <w:rsid w:val="00846D09"/>
    <w:rsid w:val="00850229"/>
    <w:rsid w:val="00852682"/>
    <w:rsid w:val="00870F3D"/>
    <w:rsid w:val="00871954"/>
    <w:rsid w:val="00873926"/>
    <w:rsid w:val="0087712A"/>
    <w:rsid w:val="008802B8"/>
    <w:rsid w:val="008811FD"/>
    <w:rsid w:val="00885A9D"/>
    <w:rsid w:val="008A209C"/>
    <w:rsid w:val="008A7BDE"/>
    <w:rsid w:val="008B0258"/>
    <w:rsid w:val="008B0A51"/>
    <w:rsid w:val="008B108E"/>
    <w:rsid w:val="008B4E0E"/>
    <w:rsid w:val="008B580F"/>
    <w:rsid w:val="008B5E9E"/>
    <w:rsid w:val="008B79F2"/>
    <w:rsid w:val="008C31BC"/>
    <w:rsid w:val="008C3AA9"/>
    <w:rsid w:val="008D064F"/>
    <w:rsid w:val="008D6BF4"/>
    <w:rsid w:val="008E0058"/>
    <w:rsid w:val="008E5B92"/>
    <w:rsid w:val="008F329E"/>
    <w:rsid w:val="00901B0F"/>
    <w:rsid w:val="00916968"/>
    <w:rsid w:val="00922B2C"/>
    <w:rsid w:val="009258DF"/>
    <w:rsid w:val="0093666F"/>
    <w:rsid w:val="00936AE0"/>
    <w:rsid w:val="00941770"/>
    <w:rsid w:val="0094280B"/>
    <w:rsid w:val="00942E25"/>
    <w:rsid w:val="00952BBC"/>
    <w:rsid w:val="00952FD5"/>
    <w:rsid w:val="00972627"/>
    <w:rsid w:val="00974E38"/>
    <w:rsid w:val="00991DE3"/>
    <w:rsid w:val="009A13BE"/>
    <w:rsid w:val="009C3D6E"/>
    <w:rsid w:val="009D0D9B"/>
    <w:rsid w:val="009D250D"/>
    <w:rsid w:val="009D2FB5"/>
    <w:rsid w:val="009D58BF"/>
    <w:rsid w:val="009D5E98"/>
    <w:rsid w:val="009E07A8"/>
    <w:rsid w:val="009E1734"/>
    <w:rsid w:val="009E3C20"/>
    <w:rsid w:val="009E4CB8"/>
    <w:rsid w:val="009E502C"/>
    <w:rsid w:val="009E50CF"/>
    <w:rsid w:val="009F2460"/>
    <w:rsid w:val="009F30C8"/>
    <w:rsid w:val="00A00477"/>
    <w:rsid w:val="00A10611"/>
    <w:rsid w:val="00A108F5"/>
    <w:rsid w:val="00A14387"/>
    <w:rsid w:val="00A16427"/>
    <w:rsid w:val="00A17E10"/>
    <w:rsid w:val="00A26546"/>
    <w:rsid w:val="00A27525"/>
    <w:rsid w:val="00A321C8"/>
    <w:rsid w:val="00A32334"/>
    <w:rsid w:val="00A33897"/>
    <w:rsid w:val="00A33E99"/>
    <w:rsid w:val="00A43F37"/>
    <w:rsid w:val="00A44E0A"/>
    <w:rsid w:val="00A52AFC"/>
    <w:rsid w:val="00A600B2"/>
    <w:rsid w:val="00A62EBC"/>
    <w:rsid w:val="00A65D3F"/>
    <w:rsid w:val="00A73C61"/>
    <w:rsid w:val="00A7748D"/>
    <w:rsid w:val="00A838B5"/>
    <w:rsid w:val="00A8496B"/>
    <w:rsid w:val="00A86696"/>
    <w:rsid w:val="00A86EC4"/>
    <w:rsid w:val="00A90FD2"/>
    <w:rsid w:val="00A92AD7"/>
    <w:rsid w:val="00A93539"/>
    <w:rsid w:val="00AB4E8D"/>
    <w:rsid w:val="00AB50C8"/>
    <w:rsid w:val="00AB7CE4"/>
    <w:rsid w:val="00AD07CD"/>
    <w:rsid w:val="00AD1301"/>
    <w:rsid w:val="00AE0F4A"/>
    <w:rsid w:val="00AE4967"/>
    <w:rsid w:val="00AE6479"/>
    <w:rsid w:val="00AF551F"/>
    <w:rsid w:val="00B0174D"/>
    <w:rsid w:val="00B03537"/>
    <w:rsid w:val="00B03636"/>
    <w:rsid w:val="00B11BCD"/>
    <w:rsid w:val="00B11CCE"/>
    <w:rsid w:val="00B1260C"/>
    <w:rsid w:val="00B138BA"/>
    <w:rsid w:val="00B231DC"/>
    <w:rsid w:val="00B265B2"/>
    <w:rsid w:val="00B26A5E"/>
    <w:rsid w:val="00B32E2D"/>
    <w:rsid w:val="00B341C8"/>
    <w:rsid w:val="00B34401"/>
    <w:rsid w:val="00B35BAF"/>
    <w:rsid w:val="00B403CA"/>
    <w:rsid w:val="00B44676"/>
    <w:rsid w:val="00B45FBE"/>
    <w:rsid w:val="00B53E9F"/>
    <w:rsid w:val="00B6087A"/>
    <w:rsid w:val="00B608BD"/>
    <w:rsid w:val="00B61142"/>
    <w:rsid w:val="00B67889"/>
    <w:rsid w:val="00B73AB9"/>
    <w:rsid w:val="00B74C70"/>
    <w:rsid w:val="00B83709"/>
    <w:rsid w:val="00B9235E"/>
    <w:rsid w:val="00B955C2"/>
    <w:rsid w:val="00BA019F"/>
    <w:rsid w:val="00BA0E30"/>
    <w:rsid w:val="00BA185F"/>
    <w:rsid w:val="00BB26A5"/>
    <w:rsid w:val="00BB3904"/>
    <w:rsid w:val="00BB39F0"/>
    <w:rsid w:val="00BC049B"/>
    <w:rsid w:val="00BD00BF"/>
    <w:rsid w:val="00BD33DE"/>
    <w:rsid w:val="00BD4044"/>
    <w:rsid w:val="00BE04B1"/>
    <w:rsid w:val="00BF48C3"/>
    <w:rsid w:val="00BF645B"/>
    <w:rsid w:val="00C009A2"/>
    <w:rsid w:val="00C00B56"/>
    <w:rsid w:val="00C01410"/>
    <w:rsid w:val="00C03182"/>
    <w:rsid w:val="00C041A6"/>
    <w:rsid w:val="00C14E43"/>
    <w:rsid w:val="00C1548B"/>
    <w:rsid w:val="00C237C4"/>
    <w:rsid w:val="00C23F24"/>
    <w:rsid w:val="00C277F6"/>
    <w:rsid w:val="00C300AC"/>
    <w:rsid w:val="00C32896"/>
    <w:rsid w:val="00C4418D"/>
    <w:rsid w:val="00C47F0C"/>
    <w:rsid w:val="00C501FF"/>
    <w:rsid w:val="00C50521"/>
    <w:rsid w:val="00C50C17"/>
    <w:rsid w:val="00C52FCD"/>
    <w:rsid w:val="00C54019"/>
    <w:rsid w:val="00C54550"/>
    <w:rsid w:val="00C54572"/>
    <w:rsid w:val="00C54B89"/>
    <w:rsid w:val="00C55B69"/>
    <w:rsid w:val="00C60D49"/>
    <w:rsid w:val="00C61B7A"/>
    <w:rsid w:val="00C624CB"/>
    <w:rsid w:val="00C63F9E"/>
    <w:rsid w:val="00C70C02"/>
    <w:rsid w:val="00C7249A"/>
    <w:rsid w:val="00C750C3"/>
    <w:rsid w:val="00C768C9"/>
    <w:rsid w:val="00C87BB4"/>
    <w:rsid w:val="00C90D19"/>
    <w:rsid w:val="00C945AA"/>
    <w:rsid w:val="00C9775C"/>
    <w:rsid w:val="00CA0EC9"/>
    <w:rsid w:val="00CA7231"/>
    <w:rsid w:val="00CB4F00"/>
    <w:rsid w:val="00CB50FB"/>
    <w:rsid w:val="00CB61FC"/>
    <w:rsid w:val="00CB7E9A"/>
    <w:rsid w:val="00CC1445"/>
    <w:rsid w:val="00CC1D60"/>
    <w:rsid w:val="00CC56E2"/>
    <w:rsid w:val="00CC5CCA"/>
    <w:rsid w:val="00CD6EDF"/>
    <w:rsid w:val="00CD6F8A"/>
    <w:rsid w:val="00CE3FEF"/>
    <w:rsid w:val="00CE4656"/>
    <w:rsid w:val="00CF5310"/>
    <w:rsid w:val="00D125A0"/>
    <w:rsid w:val="00D21320"/>
    <w:rsid w:val="00D24BF6"/>
    <w:rsid w:val="00D27598"/>
    <w:rsid w:val="00D42114"/>
    <w:rsid w:val="00D4352D"/>
    <w:rsid w:val="00D44009"/>
    <w:rsid w:val="00D45B6B"/>
    <w:rsid w:val="00D460E6"/>
    <w:rsid w:val="00D50EA4"/>
    <w:rsid w:val="00D5118C"/>
    <w:rsid w:val="00D51953"/>
    <w:rsid w:val="00D56D9C"/>
    <w:rsid w:val="00D611FB"/>
    <w:rsid w:val="00D66602"/>
    <w:rsid w:val="00D66F54"/>
    <w:rsid w:val="00D7252F"/>
    <w:rsid w:val="00D74B3A"/>
    <w:rsid w:val="00D7543B"/>
    <w:rsid w:val="00D756D5"/>
    <w:rsid w:val="00D81815"/>
    <w:rsid w:val="00D81A12"/>
    <w:rsid w:val="00D81B46"/>
    <w:rsid w:val="00D8210F"/>
    <w:rsid w:val="00D83621"/>
    <w:rsid w:val="00D91766"/>
    <w:rsid w:val="00D9468B"/>
    <w:rsid w:val="00D95F79"/>
    <w:rsid w:val="00D97558"/>
    <w:rsid w:val="00DA41A2"/>
    <w:rsid w:val="00DA48BF"/>
    <w:rsid w:val="00DA4BF1"/>
    <w:rsid w:val="00DA6C0C"/>
    <w:rsid w:val="00DC4512"/>
    <w:rsid w:val="00DC5FA4"/>
    <w:rsid w:val="00DC69AA"/>
    <w:rsid w:val="00DC7DC7"/>
    <w:rsid w:val="00DD1AE4"/>
    <w:rsid w:val="00DD6A0B"/>
    <w:rsid w:val="00DE20E1"/>
    <w:rsid w:val="00DE593D"/>
    <w:rsid w:val="00DE5BAA"/>
    <w:rsid w:val="00DF117F"/>
    <w:rsid w:val="00DF1C67"/>
    <w:rsid w:val="00DF4E6B"/>
    <w:rsid w:val="00DF53D2"/>
    <w:rsid w:val="00E03125"/>
    <w:rsid w:val="00E06AED"/>
    <w:rsid w:val="00E10BC2"/>
    <w:rsid w:val="00E122C2"/>
    <w:rsid w:val="00E222C3"/>
    <w:rsid w:val="00E22A16"/>
    <w:rsid w:val="00E26B7D"/>
    <w:rsid w:val="00E36F57"/>
    <w:rsid w:val="00E41ECE"/>
    <w:rsid w:val="00E45E31"/>
    <w:rsid w:val="00E51CC9"/>
    <w:rsid w:val="00E674D3"/>
    <w:rsid w:val="00E67DEC"/>
    <w:rsid w:val="00E709DB"/>
    <w:rsid w:val="00E718ED"/>
    <w:rsid w:val="00E750D4"/>
    <w:rsid w:val="00E76150"/>
    <w:rsid w:val="00E8281E"/>
    <w:rsid w:val="00E833AF"/>
    <w:rsid w:val="00E84E69"/>
    <w:rsid w:val="00E91A7D"/>
    <w:rsid w:val="00EA23D0"/>
    <w:rsid w:val="00EA3898"/>
    <w:rsid w:val="00EA3EF8"/>
    <w:rsid w:val="00EA6DE1"/>
    <w:rsid w:val="00EB5C0E"/>
    <w:rsid w:val="00EC0EA2"/>
    <w:rsid w:val="00EC69FA"/>
    <w:rsid w:val="00EC6B0C"/>
    <w:rsid w:val="00ED0056"/>
    <w:rsid w:val="00ED4F9D"/>
    <w:rsid w:val="00EE5419"/>
    <w:rsid w:val="00EE743A"/>
    <w:rsid w:val="00EF2F20"/>
    <w:rsid w:val="00EF38FF"/>
    <w:rsid w:val="00EF5048"/>
    <w:rsid w:val="00F002EE"/>
    <w:rsid w:val="00F07EDF"/>
    <w:rsid w:val="00F1687E"/>
    <w:rsid w:val="00F17524"/>
    <w:rsid w:val="00F178D2"/>
    <w:rsid w:val="00F21005"/>
    <w:rsid w:val="00F2194B"/>
    <w:rsid w:val="00F22858"/>
    <w:rsid w:val="00F25948"/>
    <w:rsid w:val="00F2613D"/>
    <w:rsid w:val="00F271C9"/>
    <w:rsid w:val="00F305F7"/>
    <w:rsid w:val="00F33093"/>
    <w:rsid w:val="00F35BD2"/>
    <w:rsid w:val="00F37112"/>
    <w:rsid w:val="00F40279"/>
    <w:rsid w:val="00F6150A"/>
    <w:rsid w:val="00F6290C"/>
    <w:rsid w:val="00F67CD7"/>
    <w:rsid w:val="00F81EC5"/>
    <w:rsid w:val="00F81FF1"/>
    <w:rsid w:val="00F857D5"/>
    <w:rsid w:val="00F87AC4"/>
    <w:rsid w:val="00F918ED"/>
    <w:rsid w:val="00F91BDE"/>
    <w:rsid w:val="00FA0E64"/>
    <w:rsid w:val="00FA21F8"/>
    <w:rsid w:val="00FB5F01"/>
    <w:rsid w:val="00FC0265"/>
    <w:rsid w:val="00FC0441"/>
    <w:rsid w:val="00FC132B"/>
    <w:rsid w:val="00FC4798"/>
    <w:rsid w:val="00FD0FEE"/>
    <w:rsid w:val="00FD1C6D"/>
    <w:rsid w:val="00FD218C"/>
    <w:rsid w:val="00FD4D59"/>
    <w:rsid w:val="00FF176C"/>
    <w:rsid w:val="00FF4200"/>
    <w:rsid w:val="00FF4D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3970F"/>
  <w15:docId w15:val="{EC09AD33-F720-494A-A1EC-B70AFCD6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BDE"/>
    <w:pPr>
      <w:spacing w:after="0" w:line="240" w:lineRule="auto"/>
      <w:ind w:left="360"/>
    </w:pPr>
    <w:rPr>
      <w:sz w:val="21"/>
    </w:rPr>
  </w:style>
  <w:style w:type="paragraph" w:styleId="Heading1">
    <w:name w:val="heading 1"/>
    <w:basedOn w:val="Normal"/>
    <w:next w:val="Normal"/>
    <w:link w:val="Heading1Char"/>
    <w:uiPriority w:val="9"/>
    <w:qFormat/>
    <w:rsid w:val="007432B6"/>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54550"/>
    <w:pPr>
      <w:keepNext/>
      <w:keepLines/>
      <w:spacing w:before="120"/>
      <w:ind w:left="0"/>
      <w:outlineLvl w:val="1"/>
    </w:pPr>
    <w:rPr>
      <w:rFonts w:eastAsiaTheme="majorEastAsia" w:cstheme="majorBidi"/>
      <w:b/>
      <w:bCs/>
      <w:i/>
      <w:sz w:val="28"/>
      <w:szCs w:val="26"/>
    </w:rPr>
  </w:style>
  <w:style w:type="paragraph" w:styleId="Heading3">
    <w:name w:val="heading 3"/>
    <w:basedOn w:val="Normal"/>
    <w:next w:val="Normal"/>
    <w:link w:val="Heading3Char"/>
    <w:autoRedefine/>
    <w:uiPriority w:val="9"/>
    <w:unhideWhenUsed/>
    <w:qFormat/>
    <w:rsid w:val="007432B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811"/>
    <w:pPr>
      <w:tabs>
        <w:tab w:val="center" w:pos="4680"/>
        <w:tab w:val="right" w:pos="9360"/>
      </w:tabs>
    </w:pPr>
  </w:style>
  <w:style w:type="character" w:customStyle="1" w:styleId="HeaderChar">
    <w:name w:val="Header Char"/>
    <w:basedOn w:val="DefaultParagraphFont"/>
    <w:link w:val="Header"/>
    <w:uiPriority w:val="99"/>
    <w:rsid w:val="00601811"/>
  </w:style>
  <w:style w:type="paragraph" w:styleId="Footer">
    <w:name w:val="footer"/>
    <w:basedOn w:val="Normal"/>
    <w:link w:val="FooterChar"/>
    <w:uiPriority w:val="99"/>
    <w:unhideWhenUsed/>
    <w:rsid w:val="00601811"/>
    <w:pPr>
      <w:tabs>
        <w:tab w:val="center" w:pos="4680"/>
        <w:tab w:val="right" w:pos="9360"/>
      </w:tabs>
    </w:pPr>
  </w:style>
  <w:style w:type="character" w:customStyle="1" w:styleId="FooterChar">
    <w:name w:val="Footer Char"/>
    <w:basedOn w:val="DefaultParagraphFont"/>
    <w:link w:val="Footer"/>
    <w:uiPriority w:val="99"/>
    <w:rsid w:val="00601811"/>
  </w:style>
  <w:style w:type="character" w:customStyle="1" w:styleId="Heading3Char">
    <w:name w:val="Heading 3 Char"/>
    <w:basedOn w:val="DefaultParagraphFont"/>
    <w:link w:val="Heading3"/>
    <w:uiPriority w:val="9"/>
    <w:rsid w:val="007432B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C54550"/>
    <w:rPr>
      <w:rFonts w:eastAsiaTheme="majorEastAsia" w:cstheme="majorBidi"/>
      <w:b/>
      <w:bCs/>
      <w:i/>
      <w:sz w:val="28"/>
      <w:szCs w:val="26"/>
    </w:rPr>
  </w:style>
  <w:style w:type="paragraph" w:styleId="ListParagraph">
    <w:name w:val="List Paragraph"/>
    <w:basedOn w:val="Normal"/>
    <w:uiPriority w:val="34"/>
    <w:qFormat/>
    <w:rsid w:val="00936AE0"/>
    <w:pPr>
      <w:contextualSpacing/>
    </w:pPr>
  </w:style>
  <w:style w:type="table" w:styleId="TableGrid">
    <w:name w:val="Table Grid"/>
    <w:basedOn w:val="TableNormal"/>
    <w:uiPriority w:val="59"/>
    <w:rsid w:val="003C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82C"/>
    <w:rPr>
      <w:rFonts w:ascii="Tahoma" w:hAnsi="Tahoma" w:cs="Tahoma"/>
      <w:sz w:val="16"/>
      <w:szCs w:val="16"/>
    </w:rPr>
  </w:style>
  <w:style w:type="character" w:customStyle="1" w:styleId="BalloonTextChar">
    <w:name w:val="Balloon Text Char"/>
    <w:basedOn w:val="DefaultParagraphFont"/>
    <w:link w:val="BalloonText"/>
    <w:uiPriority w:val="99"/>
    <w:semiHidden/>
    <w:rsid w:val="0007782C"/>
    <w:rPr>
      <w:rFonts w:ascii="Tahoma" w:hAnsi="Tahoma" w:cs="Tahoma"/>
      <w:sz w:val="16"/>
      <w:szCs w:val="16"/>
    </w:rPr>
  </w:style>
  <w:style w:type="character" w:customStyle="1" w:styleId="Heading1Char">
    <w:name w:val="Heading 1 Char"/>
    <w:basedOn w:val="DefaultParagraphFont"/>
    <w:link w:val="Heading1"/>
    <w:uiPriority w:val="9"/>
    <w:rsid w:val="007432B6"/>
    <w:rPr>
      <w:rFonts w:asciiTheme="majorHAnsi" w:eastAsiaTheme="majorEastAsia" w:hAnsiTheme="majorHAnsi" w:cstheme="majorBidi"/>
      <w:b/>
      <w:bCs/>
      <w:sz w:val="28"/>
      <w:szCs w:val="28"/>
    </w:rPr>
  </w:style>
  <w:style w:type="table" w:styleId="LightList">
    <w:name w:val="Light List"/>
    <w:basedOn w:val="TableNormal"/>
    <w:uiPriority w:val="61"/>
    <w:rsid w:val="00216C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A8496B"/>
    <w:pPr>
      <w:spacing w:after="0" w:line="240" w:lineRule="auto"/>
    </w:pPr>
  </w:style>
  <w:style w:type="character" w:customStyle="1" w:styleId="NoSpacingChar">
    <w:name w:val="No Spacing Char"/>
    <w:basedOn w:val="DefaultParagraphFont"/>
    <w:link w:val="NoSpacing"/>
    <w:uiPriority w:val="1"/>
    <w:rsid w:val="00A8496B"/>
  </w:style>
  <w:style w:type="table" w:customStyle="1" w:styleId="HitachiCommonECN">
    <w:name w:val="Hitachi Common ECN"/>
    <w:basedOn w:val="LightList"/>
    <w:uiPriority w:val="99"/>
    <w:rsid w:val="0058711E"/>
    <w:rPr>
      <w:sz w:val="21"/>
    </w:rP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val="0"/>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F6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19854">
      <w:bodyDiv w:val="1"/>
      <w:marLeft w:val="0"/>
      <w:marRight w:val="0"/>
      <w:marTop w:val="0"/>
      <w:marBottom w:val="0"/>
      <w:divBdr>
        <w:top w:val="none" w:sz="0" w:space="0" w:color="auto"/>
        <w:left w:val="none" w:sz="0" w:space="0" w:color="auto"/>
        <w:bottom w:val="none" w:sz="0" w:space="0" w:color="auto"/>
        <w:right w:val="none" w:sz="0" w:space="0" w:color="auto"/>
      </w:divBdr>
    </w:div>
    <w:div w:id="1629314262">
      <w:bodyDiv w:val="1"/>
      <w:marLeft w:val="0"/>
      <w:marRight w:val="0"/>
      <w:marTop w:val="0"/>
      <w:marBottom w:val="0"/>
      <w:divBdr>
        <w:top w:val="none" w:sz="0" w:space="0" w:color="auto"/>
        <w:left w:val="none" w:sz="0" w:space="0" w:color="auto"/>
        <w:bottom w:val="none" w:sz="0" w:space="0" w:color="auto"/>
        <w:right w:val="none" w:sz="0" w:space="0" w:color="auto"/>
      </w:divBdr>
    </w:div>
    <w:div w:id="1925020418">
      <w:bodyDiv w:val="1"/>
      <w:marLeft w:val="0"/>
      <w:marRight w:val="0"/>
      <w:marTop w:val="0"/>
      <w:marBottom w:val="0"/>
      <w:divBdr>
        <w:top w:val="none" w:sz="0" w:space="0" w:color="auto"/>
        <w:left w:val="none" w:sz="0" w:space="0" w:color="auto"/>
        <w:bottom w:val="none" w:sz="0" w:space="0" w:color="auto"/>
        <w:right w:val="none" w:sz="0" w:space="0" w:color="auto"/>
      </w:divBdr>
    </w:div>
    <w:div w:id="2042633378">
      <w:bodyDiv w:val="1"/>
      <w:marLeft w:val="0"/>
      <w:marRight w:val="0"/>
      <w:marTop w:val="0"/>
      <w:marBottom w:val="0"/>
      <w:divBdr>
        <w:top w:val="none" w:sz="0" w:space="0" w:color="auto"/>
        <w:left w:val="none" w:sz="0" w:space="0" w:color="auto"/>
        <w:bottom w:val="none" w:sz="0" w:space="0" w:color="auto"/>
        <w:right w:val="none" w:sz="0" w:space="0" w:color="auto"/>
      </w:divBdr>
    </w:div>
    <w:div w:id="21406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0B03-6F52-4E8B-93F8-FAB54DA2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5558</TotalTime>
  <Pages>3</Pages>
  <Words>1200</Words>
  <Characters>6842</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Hitachi Data Systems</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Roy Chen</cp:lastModifiedBy>
  <cp:revision>250</cp:revision>
  <cp:lastPrinted>2013-05-12T01:54:00Z</cp:lastPrinted>
  <dcterms:created xsi:type="dcterms:W3CDTF">2015-04-23T20:12:00Z</dcterms:created>
  <dcterms:modified xsi:type="dcterms:W3CDTF">2018-06-28T20:44:00Z</dcterms:modified>
</cp:coreProperties>
</file>